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00FD" w14:textId="544091B1" w:rsidR="003E4616" w:rsidRDefault="00652A7C" w:rsidP="007325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EXPLICATION DE</w:t>
      </w:r>
      <w:r w:rsidR="003E4616" w:rsidRPr="00C22A9D">
        <w:rPr>
          <w:rFonts w:ascii="Arial" w:hAnsi="Arial" w:cs="Arial"/>
          <w:b/>
          <w:bCs/>
          <w:sz w:val="24"/>
          <w:szCs w:val="24"/>
        </w:rPr>
        <w:t xml:space="preserve"> LA LOI N°2024-494</w:t>
      </w:r>
    </w:p>
    <w:p w14:paraId="5247C546" w14:textId="3E8F95DE" w:rsidR="00652A7C" w:rsidRPr="00C22A9D" w:rsidRDefault="00A70BF7" w:rsidP="007325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652A7C">
        <w:rPr>
          <w:rFonts w:ascii="Arial" w:hAnsi="Arial" w:cs="Arial"/>
          <w:b/>
          <w:bCs/>
          <w:sz w:val="24"/>
          <w:szCs w:val="24"/>
        </w:rPr>
        <w:t>romulguée le 1</w:t>
      </w:r>
      <w:r w:rsidR="00652A7C" w:rsidRPr="00652A7C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="00652A7C">
        <w:rPr>
          <w:rFonts w:ascii="Arial" w:hAnsi="Arial" w:cs="Arial"/>
          <w:b/>
          <w:bCs/>
          <w:sz w:val="24"/>
          <w:szCs w:val="24"/>
        </w:rPr>
        <w:t xml:space="preserve"> juin 2024</w:t>
      </w:r>
    </w:p>
    <w:p w14:paraId="37351539" w14:textId="77777777" w:rsidR="003E4616" w:rsidRDefault="003E4616" w:rsidP="007325DA">
      <w:pPr>
        <w:jc w:val="both"/>
        <w:rPr>
          <w:rFonts w:ascii="Arial" w:hAnsi="Arial" w:cs="Arial"/>
        </w:rPr>
      </w:pPr>
    </w:p>
    <w:p w14:paraId="454E8497" w14:textId="5B68E7E6" w:rsidR="00652A7C" w:rsidRDefault="00652A7C" w:rsidP="00732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loi n°2024-494 est le fruit d’un processus législatif initié par le Député </w:t>
      </w:r>
      <w:r w:rsidR="0041374B">
        <w:rPr>
          <w:rFonts w:ascii="Arial" w:hAnsi="Arial" w:cs="Arial"/>
        </w:rPr>
        <w:t>Hubert</w:t>
      </w:r>
      <w:r>
        <w:rPr>
          <w:rFonts w:ascii="Arial" w:hAnsi="Arial" w:cs="Arial"/>
        </w:rPr>
        <w:t xml:space="preserve"> Ott et l’ensemble du Groupe Démocrates</w:t>
      </w:r>
      <w:r w:rsidR="00883478">
        <w:rPr>
          <w:rFonts w:ascii="Arial" w:hAnsi="Arial" w:cs="Arial"/>
        </w:rPr>
        <w:t xml:space="preserve"> le 5 décembre 2023.</w:t>
      </w:r>
    </w:p>
    <w:p w14:paraId="2AFDBE98" w14:textId="26E4A5FF" w:rsidR="00883478" w:rsidRDefault="00883478" w:rsidP="00732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proposition de loi a fait l’objet d’un</w:t>
      </w:r>
      <w:r w:rsidR="0041374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proc</w:t>
      </w:r>
      <w:r w:rsidR="0041374B">
        <w:rPr>
          <w:rFonts w:ascii="Arial" w:hAnsi="Arial" w:cs="Arial"/>
        </w:rPr>
        <w:t>édure</w:t>
      </w:r>
      <w:r>
        <w:rPr>
          <w:rFonts w:ascii="Arial" w:hAnsi="Arial" w:cs="Arial"/>
        </w:rPr>
        <w:t xml:space="preserve"> accéléré</w:t>
      </w:r>
      <w:r w:rsidR="0041374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demandé</w:t>
      </w:r>
      <w:r w:rsidR="002A73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 le gouvernement, ce qui a permis de promulguer la loi le 1</w:t>
      </w:r>
      <w:r w:rsidRPr="00883478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juin, soit </w:t>
      </w:r>
      <w:r w:rsidR="00C16D5E">
        <w:rPr>
          <w:rFonts w:ascii="Arial" w:hAnsi="Arial" w:cs="Arial"/>
        </w:rPr>
        <w:t>6 mois après le début du processus</w:t>
      </w:r>
      <w:r w:rsidR="00003434">
        <w:rPr>
          <w:rFonts w:ascii="Arial" w:hAnsi="Arial" w:cs="Arial"/>
        </w:rPr>
        <w:t>.</w:t>
      </w:r>
      <w:r w:rsidR="00C16D5E">
        <w:rPr>
          <w:rFonts w:ascii="Arial" w:hAnsi="Arial" w:cs="Arial"/>
        </w:rPr>
        <w:t xml:space="preserve"> </w:t>
      </w:r>
      <w:r w:rsidR="00003434">
        <w:rPr>
          <w:rFonts w:ascii="Arial" w:hAnsi="Arial" w:cs="Arial"/>
        </w:rPr>
        <w:t>U</w:t>
      </w:r>
      <w:r w:rsidR="00C16D5E">
        <w:rPr>
          <w:rFonts w:ascii="Arial" w:hAnsi="Arial" w:cs="Arial"/>
        </w:rPr>
        <w:t>n véritable record !</w:t>
      </w:r>
    </w:p>
    <w:p w14:paraId="20E97E94" w14:textId="06684893" w:rsidR="00C16D5E" w:rsidRDefault="002A737B" w:rsidP="00732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16D5E">
        <w:rPr>
          <w:rFonts w:ascii="Arial" w:hAnsi="Arial" w:cs="Arial"/>
        </w:rPr>
        <w:t xml:space="preserve">e texte </w:t>
      </w:r>
      <w:proofErr w:type="gramStart"/>
      <w:r w:rsidR="00C16D5E">
        <w:rPr>
          <w:rFonts w:ascii="Arial" w:hAnsi="Arial" w:cs="Arial"/>
        </w:rPr>
        <w:t>de  loi</w:t>
      </w:r>
      <w:proofErr w:type="gramEnd"/>
      <w:r w:rsidR="00C16D5E">
        <w:rPr>
          <w:rFonts w:ascii="Arial" w:hAnsi="Arial" w:cs="Arial"/>
        </w:rPr>
        <w:t xml:space="preserve"> a été </w:t>
      </w:r>
      <w:r w:rsidR="00A70BF7">
        <w:rPr>
          <w:rFonts w:ascii="Arial" w:hAnsi="Arial" w:cs="Arial"/>
        </w:rPr>
        <w:t>modifié plusieurs fois au cours des</w:t>
      </w:r>
      <w:r w:rsidR="00C16D5E">
        <w:rPr>
          <w:rFonts w:ascii="Arial" w:hAnsi="Arial" w:cs="Arial"/>
        </w:rPr>
        <w:t xml:space="preserve"> allers-retours entre l’Assemblée Nationale et le Sénat. Le texte définitif est disponible sur notre site (section « documentation »).</w:t>
      </w:r>
    </w:p>
    <w:p w14:paraId="039878C6" w14:textId="77777777" w:rsidR="00C16D5E" w:rsidRDefault="00C16D5E" w:rsidP="007325DA">
      <w:pPr>
        <w:jc w:val="both"/>
        <w:rPr>
          <w:rFonts w:ascii="Arial" w:hAnsi="Arial" w:cs="Arial"/>
        </w:rPr>
      </w:pPr>
    </w:p>
    <w:p w14:paraId="33F21AC7" w14:textId="52DAE971" w:rsidR="00C16D5E" w:rsidRPr="00A75B0D" w:rsidRDefault="00C16D5E" w:rsidP="007325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75B0D">
        <w:rPr>
          <w:rFonts w:ascii="Arial" w:hAnsi="Arial" w:cs="Arial"/>
          <w:b/>
          <w:bCs/>
          <w:sz w:val="28"/>
          <w:szCs w:val="28"/>
        </w:rPr>
        <w:t>Que dit la nouvelle loi ?</w:t>
      </w:r>
    </w:p>
    <w:p w14:paraId="400E0700" w14:textId="77777777" w:rsidR="00A75B0D" w:rsidRDefault="00A75B0D" w:rsidP="007325DA">
      <w:pPr>
        <w:jc w:val="both"/>
        <w:rPr>
          <w:rFonts w:ascii="Arial" w:hAnsi="Arial" w:cs="Arial"/>
        </w:rPr>
      </w:pPr>
    </w:p>
    <w:p w14:paraId="663A171B" w14:textId="4C9660D7" w:rsidR="00C16D5E" w:rsidRDefault="00C16D5E" w:rsidP="00732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loi n°2024-494 contient deux parties</w:t>
      </w:r>
      <w:r w:rsidR="00EF1F75">
        <w:rPr>
          <w:rFonts w:ascii="Arial" w:hAnsi="Arial" w:cs="Arial"/>
        </w:rPr>
        <w:t xml:space="preserve"> : </w:t>
      </w:r>
    </w:p>
    <w:p w14:paraId="78B7C4F2" w14:textId="5B055BC3" w:rsidR="00EF1F75" w:rsidRDefault="00EF1F75" w:rsidP="00197D8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articles n°1 à n°3 portent sur </w:t>
      </w:r>
      <w:r w:rsidRPr="00A75B0D">
        <w:rPr>
          <w:rFonts w:ascii="Arial" w:hAnsi="Arial" w:cs="Arial"/>
          <w:b/>
          <w:bCs/>
        </w:rPr>
        <w:t>l</w:t>
      </w:r>
      <w:r w:rsidR="008E2808">
        <w:rPr>
          <w:rFonts w:ascii="Arial" w:hAnsi="Arial" w:cs="Arial"/>
          <w:b/>
          <w:bCs/>
        </w:rPr>
        <w:t>a déchéance des avantages matrimoniaux.</w:t>
      </w:r>
      <w:r>
        <w:rPr>
          <w:rFonts w:ascii="Arial" w:hAnsi="Arial" w:cs="Arial"/>
        </w:rPr>
        <w:t xml:space="preserve"> En </w:t>
      </w:r>
      <w:r w:rsidR="008E2808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, ils précisent qu’un conjoint qui a assassiné sa femme ne pourra plus </w:t>
      </w:r>
      <w:r w:rsidR="001077D2">
        <w:rPr>
          <w:rFonts w:ascii="Arial" w:hAnsi="Arial" w:cs="Arial"/>
        </w:rPr>
        <w:t xml:space="preserve">toucher son héritage. Jusqu’à présent, les assassins étaient en droit de « bénéficier des avantages matrimoniaux ». </w:t>
      </w:r>
      <w:r w:rsidR="00204AA8">
        <w:rPr>
          <w:rFonts w:ascii="Arial" w:hAnsi="Arial" w:cs="Arial"/>
        </w:rPr>
        <w:t>C</w:t>
      </w:r>
      <w:r w:rsidR="001077D2">
        <w:rPr>
          <w:rFonts w:ascii="Arial" w:hAnsi="Arial" w:cs="Arial"/>
        </w:rPr>
        <w:t>ela signifie qu’il</w:t>
      </w:r>
      <w:r w:rsidR="00BF74F8">
        <w:rPr>
          <w:rFonts w:ascii="Arial" w:hAnsi="Arial" w:cs="Arial"/>
        </w:rPr>
        <w:t>s</w:t>
      </w:r>
      <w:r w:rsidR="001077D2">
        <w:rPr>
          <w:rFonts w:ascii="Arial" w:hAnsi="Arial" w:cs="Arial"/>
        </w:rPr>
        <w:t xml:space="preserve"> touchai</w:t>
      </w:r>
      <w:r w:rsidR="00BF74F8">
        <w:rPr>
          <w:rFonts w:ascii="Arial" w:hAnsi="Arial" w:cs="Arial"/>
        </w:rPr>
        <w:t>en</w:t>
      </w:r>
      <w:r w:rsidR="001077D2">
        <w:rPr>
          <w:rFonts w:ascii="Arial" w:hAnsi="Arial" w:cs="Arial"/>
        </w:rPr>
        <w:t>t leur part d’héritage</w:t>
      </w:r>
      <w:r w:rsidR="00D410B7">
        <w:rPr>
          <w:rFonts w:ascii="Arial" w:hAnsi="Arial" w:cs="Arial"/>
        </w:rPr>
        <w:t>,</w:t>
      </w:r>
      <w:r w:rsidR="004F4966">
        <w:rPr>
          <w:rFonts w:ascii="Arial" w:hAnsi="Arial" w:cs="Arial"/>
        </w:rPr>
        <w:t xml:space="preserve"> </w:t>
      </w:r>
      <w:r w:rsidR="00204AA8">
        <w:rPr>
          <w:rFonts w:ascii="Arial" w:hAnsi="Arial" w:cs="Arial"/>
        </w:rPr>
        <w:t xml:space="preserve">et souvent </w:t>
      </w:r>
      <w:r w:rsidR="00D5418E">
        <w:rPr>
          <w:rFonts w:ascii="Arial" w:hAnsi="Arial" w:cs="Arial"/>
        </w:rPr>
        <w:t xml:space="preserve">au détriment des enfants de la défunte. Avec cette loi </w:t>
      </w:r>
      <w:r w:rsidR="002A737B">
        <w:rPr>
          <w:rFonts w:ascii="Arial" w:hAnsi="Arial" w:cs="Arial"/>
        </w:rPr>
        <w:t xml:space="preserve">il </w:t>
      </w:r>
      <w:r w:rsidR="00D5418E">
        <w:rPr>
          <w:rFonts w:ascii="Arial" w:hAnsi="Arial" w:cs="Arial"/>
        </w:rPr>
        <w:t xml:space="preserve">sera </w:t>
      </w:r>
      <w:r w:rsidR="005A7D5A">
        <w:rPr>
          <w:rFonts w:ascii="Arial" w:hAnsi="Arial" w:cs="Arial"/>
        </w:rPr>
        <w:t>considéré comme indigne de recevoir quoi que ce soit de la femme qu’il a tué. Une vraie mesure de justice</w:t>
      </w:r>
      <w:r w:rsidR="002A737B">
        <w:rPr>
          <w:rFonts w:ascii="Arial" w:hAnsi="Arial" w:cs="Arial"/>
        </w:rPr>
        <w:t xml:space="preserve"> pour </w:t>
      </w:r>
      <w:r w:rsidR="005A7D5A">
        <w:rPr>
          <w:rFonts w:ascii="Arial" w:hAnsi="Arial" w:cs="Arial"/>
        </w:rPr>
        <w:t>la famille.</w:t>
      </w:r>
    </w:p>
    <w:p w14:paraId="657A8775" w14:textId="08244B02" w:rsidR="00BF74F8" w:rsidRPr="00EF1F75" w:rsidRDefault="00BF74F8" w:rsidP="00197D8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article n°4 à n°6 portent sur </w:t>
      </w:r>
      <w:r w:rsidRPr="00197D80">
        <w:rPr>
          <w:rFonts w:ascii="Arial" w:hAnsi="Arial" w:cs="Arial"/>
          <w:b/>
          <w:bCs/>
        </w:rPr>
        <w:t>la décharge en responsabilité solidaire</w:t>
      </w:r>
      <w:r>
        <w:rPr>
          <w:rFonts w:ascii="Arial" w:hAnsi="Arial" w:cs="Arial"/>
        </w:rPr>
        <w:t>. Ce sont ces articles qui nous intéressent principalement ici puisqu’ils sont au cœur de notre sujet</w:t>
      </w:r>
      <w:r w:rsidR="00197D80">
        <w:rPr>
          <w:rFonts w:ascii="Arial" w:hAnsi="Arial" w:cs="Arial"/>
        </w:rPr>
        <w:t>. Nous allons donc les détailler ci-après.</w:t>
      </w:r>
    </w:p>
    <w:p w14:paraId="10347BFD" w14:textId="77777777" w:rsidR="00883478" w:rsidRPr="007325DA" w:rsidRDefault="00883478" w:rsidP="007325DA">
      <w:pPr>
        <w:jc w:val="both"/>
        <w:rPr>
          <w:rFonts w:ascii="Arial" w:hAnsi="Arial" w:cs="Arial"/>
        </w:rPr>
      </w:pPr>
    </w:p>
    <w:p w14:paraId="4F7E051B" w14:textId="3F97FAED" w:rsidR="003E4616" w:rsidRPr="007325DA" w:rsidRDefault="007325DA" w:rsidP="007325D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8231E3" wp14:editId="7FD8E296">
                <wp:simplePos x="0" y="0"/>
                <wp:positionH relativeFrom="column">
                  <wp:posOffset>-137795</wp:posOffset>
                </wp:positionH>
                <wp:positionV relativeFrom="paragraph">
                  <wp:posOffset>172907</wp:posOffset>
                </wp:positionV>
                <wp:extent cx="6463553" cy="2393576"/>
                <wp:effectExtent l="0" t="0" r="13970" b="26035"/>
                <wp:wrapNone/>
                <wp:docPr id="1154306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553" cy="23935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6770516" id="Rectangle 1" o:spid="_x0000_s1026" style="position:absolute;margin-left:-10.85pt;margin-top:13.6pt;width:508.95pt;height:188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" fillcolor="#fbe4d5 [661]" strokecolor="#fbe4d5 [661]" strokeweight="1pt"/>
            </w:pict>
          </mc:Fallback>
        </mc:AlternateContent>
      </w:r>
    </w:p>
    <w:p w14:paraId="201AD94A" w14:textId="48230E02" w:rsidR="003E4616" w:rsidRPr="007325DA" w:rsidRDefault="003E4616" w:rsidP="007325DA">
      <w:pPr>
        <w:jc w:val="both"/>
        <w:rPr>
          <w:rFonts w:ascii="Arial" w:hAnsi="Arial" w:cs="Arial"/>
          <w:b/>
          <w:bCs/>
        </w:rPr>
      </w:pPr>
      <w:r w:rsidRPr="007325DA">
        <w:rPr>
          <w:rFonts w:ascii="Arial" w:hAnsi="Arial" w:cs="Arial"/>
          <w:b/>
          <w:bCs/>
        </w:rPr>
        <w:t>ARTICLE N°4</w:t>
      </w:r>
    </w:p>
    <w:p w14:paraId="58F65D85" w14:textId="77777777" w:rsidR="003E4616" w:rsidRPr="007325DA" w:rsidRDefault="003E4616" w:rsidP="007325DA">
      <w:pPr>
        <w:jc w:val="both"/>
        <w:rPr>
          <w:rFonts w:ascii="Arial" w:hAnsi="Arial" w:cs="Arial"/>
        </w:rPr>
      </w:pPr>
    </w:p>
    <w:p w14:paraId="58E9E1CE" w14:textId="10B597A3" w:rsidR="003E4616" w:rsidRPr="007325DA" w:rsidRDefault="003E4616" w:rsidP="007325D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325DA">
        <w:rPr>
          <w:rFonts w:ascii="Arial" w:hAnsi="Arial" w:cs="Arial"/>
        </w:rPr>
        <w:t xml:space="preserve">– Le septième alinéa de l’article L. 247 du livre des procédures fiscales est complété par une phrase ainsi rédigée : « Peut être considérée comme une personne tenue au paiement d’impositions dues par un tiers la personne remplissant les conditions fixées aux 1 et 3 du II de l’article 1691 bis du même code. » </w:t>
      </w:r>
    </w:p>
    <w:p w14:paraId="74672A52" w14:textId="38744A3E" w:rsidR="003E4616" w:rsidRPr="007325DA" w:rsidRDefault="003E4616" w:rsidP="007325D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325DA">
        <w:rPr>
          <w:rFonts w:ascii="Arial" w:hAnsi="Arial" w:cs="Arial"/>
        </w:rPr>
        <w:t>– Le I s’applique aux personnes pour lesquelles la demande de décharge de l’obligation de paiement mentionnée au II de l’article 1691 bis du code général des impôts n’a donné lieu, à la date d’entrée en vigueur de la présente loi, ni à une décision définitive de la part de l’administration fiscale, ni à une décision de justice passée en force de chose jugée.</w:t>
      </w:r>
    </w:p>
    <w:p w14:paraId="526CC73B" w14:textId="77777777" w:rsidR="003E4616" w:rsidRPr="007325DA" w:rsidRDefault="003E4616" w:rsidP="007325DA">
      <w:pPr>
        <w:jc w:val="both"/>
        <w:rPr>
          <w:rFonts w:ascii="Arial" w:hAnsi="Arial" w:cs="Arial"/>
        </w:rPr>
      </w:pPr>
    </w:p>
    <w:p w14:paraId="4A48CDEF" w14:textId="77777777" w:rsidR="00AE6B7F" w:rsidRDefault="00AE6B7F" w:rsidP="007325DA">
      <w:pPr>
        <w:jc w:val="both"/>
        <w:rPr>
          <w:rFonts w:ascii="Arial" w:hAnsi="Arial" w:cs="Arial"/>
          <w:b/>
          <w:bCs/>
        </w:rPr>
      </w:pPr>
    </w:p>
    <w:p w14:paraId="7D7225A7" w14:textId="4C33A9E5" w:rsidR="003E4616" w:rsidRDefault="00003434" w:rsidP="007325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EXPLICATION ARTICLE N°4</w:t>
      </w:r>
    </w:p>
    <w:p w14:paraId="76CF008A" w14:textId="0FCA868E" w:rsidR="00A52590" w:rsidRDefault="00A70BF7" w:rsidP="00732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Avant la promulgation de la loi</w:t>
      </w:r>
      <w:r w:rsidR="00A52590" w:rsidRPr="00A52590">
        <w:rPr>
          <w:rFonts w:ascii="Arial" w:hAnsi="Arial" w:cs="Arial"/>
        </w:rPr>
        <w:t>,</w:t>
      </w:r>
      <w:r w:rsidR="00A52590" w:rsidRPr="00A52590">
        <w:rPr>
          <w:rFonts w:ascii="Arial" w:hAnsi="Arial" w:cs="Arial"/>
        </w:rPr>
        <w:t xml:space="preserve"> </w:t>
      </w:r>
      <w:r w:rsidR="00A52590" w:rsidRPr="00B66AD6">
        <w:rPr>
          <w:rFonts w:ascii="Arial" w:hAnsi="Arial" w:cs="Arial"/>
          <w:b/>
          <w:bCs/>
        </w:rPr>
        <w:t>i</w:t>
      </w:r>
      <w:r w:rsidR="00A52590" w:rsidRPr="00B66AD6">
        <w:rPr>
          <w:rFonts w:ascii="Arial" w:hAnsi="Arial" w:cs="Arial"/>
          <w:b/>
          <w:bCs/>
        </w:rPr>
        <w:t>l existait deux manières</w:t>
      </w:r>
      <w:r w:rsidR="00A52590" w:rsidRPr="00A52590">
        <w:rPr>
          <w:rFonts w:ascii="Arial" w:hAnsi="Arial" w:cs="Arial"/>
        </w:rPr>
        <w:t xml:space="preserve"> d’être déchargée des dettes fiscales contractées à votre insu par votre ex-conjoint (ou ex-conjointe, rappelons que 8% d’hommes sont aussi des victimes)</w:t>
      </w:r>
      <w:r w:rsidR="00A52590">
        <w:rPr>
          <w:rFonts w:ascii="Arial" w:hAnsi="Arial" w:cs="Arial"/>
        </w:rPr>
        <w:t> :</w:t>
      </w:r>
    </w:p>
    <w:p w14:paraId="2D14AFF5" w14:textId="0AC43F55" w:rsidR="00703AF0" w:rsidRDefault="00A52590" w:rsidP="00A52590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dispositif légal de </w:t>
      </w:r>
      <w:r w:rsidR="002A737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« DRS », </w:t>
      </w:r>
      <w:r w:rsidR="006E25B0">
        <w:rPr>
          <w:rFonts w:ascii="Arial" w:hAnsi="Arial" w:cs="Arial"/>
        </w:rPr>
        <w:t>ce qui signifie :</w:t>
      </w:r>
      <w:r>
        <w:rPr>
          <w:rFonts w:ascii="Arial" w:hAnsi="Arial" w:cs="Arial"/>
        </w:rPr>
        <w:t xml:space="preserve"> « </w:t>
      </w:r>
      <w:r w:rsidRPr="006E25B0">
        <w:rPr>
          <w:rFonts w:ascii="Arial" w:hAnsi="Arial" w:cs="Arial"/>
          <w:b/>
          <w:bCs/>
        </w:rPr>
        <w:t>demande de décharge en responsabilité solidaire</w:t>
      </w:r>
      <w:r>
        <w:rPr>
          <w:rFonts w:ascii="Arial" w:hAnsi="Arial" w:cs="Arial"/>
        </w:rPr>
        <w:t xml:space="preserve"> ». </w:t>
      </w:r>
      <w:r w:rsidR="006E25B0">
        <w:rPr>
          <w:rFonts w:ascii="Arial" w:hAnsi="Arial" w:cs="Arial"/>
        </w:rPr>
        <w:t>Inscrit dans le code général des impôts à l’article 1691 Bis, ce dispositif indique qu’un</w:t>
      </w:r>
      <w:r w:rsidR="002A737B">
        <w:rPr>
          <w:rFonts w:ascii="Arial" w:hAnsi="Arial" w:cs="Arial"/>
        </w:rPr>
        <w:t xml:space="preserve"> contribuable </w:t>
      </w:r>
      <w:r w:rsidR="006E25B0">
        <w:rPr>
          <w:rFonts w:ascii="Arial" w:hAnsi="Arial" w:cs="Arial"/>
        </w:rPr>
        <w:t xml:space="preserve">peut demander à être déchargé des dettes fiscales du foyer dont </w:t>
      </w:r>
      <w:r w:rsidR="002A737B">
        <w:rPr>
          <w:rFonts w:ascii="Arial" w:hAnsi="Arial" w:cs="Arial"/>
        </w:rPr>
        <w:t xml:space="preserve">il </w:t>
      </w:r>
      <w:r w:rsidR="006E25B0">
        <w:rPr>
          <w:rFonts w:ascii="Arial" w:hAnsi="Arial" w:cs="Arial"/>
        </w:rPr>
        <w:t>n’est pas responsable,</w:t>
      </w:r>
      <w:r w:rsidR="002A737B">
        <w:rPr>
          <w:rFonts w:ascii="Arial" w:hAnsi="Arial" w:cs="Arial"/>
        </w:rPr>
        <w:t xml:space="preserve"> en </w:t>
      </w:r>
      <w:r w:rsidR="00A70BF7">
        <w:rPr>
          <w:rFonts w:ascii="Arial" w:hAnsi="Arial" w:cs="Arial"/>
        </w:rPr>
        <w:t>remplissant trois</w:t>
      </w:r>
      <w:r w:rsidR="006E25B0">
        <w:rPr>
          <w:rFonts w:ascii="Arial" w:hAnsi="Arial" w:cs="Arial"/>
        </w:rPr>
        <w:t xml:space="preserve"> conditions : </w:t>
      </w:r>
    </w:p>
    <w:p w14:paraId="551EBE2A" w14:textId="1B9AC833" w:rsidR="00B66AD6" w:rsidRDefault="002A737B" w:rsidP="00703AF0">
      <w:pPr>
        <w:pStyle w:val="Paragraphedeliste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Être </w:t>
      </w:r>
      <w:r w:rsidR="006E25B0">
        <w:rPr>
          <w:rFonts w:ascii="Arial" w:hAnsi="Arial" w:cs="Arial"/>
        </w:rPr>
        <w:t>séparé</w:t>
      </w:r>
      <w:r w:rsidR="00A70B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divorcé </w:t>
      </w:r>
      <w:r w:rsidR="00A70BF7">
        <w:rPr>
          <w:rFonts w:ascii="Arial" w:hAnsi="Arial" w:cs="Arial"/>
        </w:rPr>
        <w:t>ou avoir rompu son Pacs</w:t>
      </w:r>
    </w:p>
    <w:p w14:paraId="2E629063" w14:textId="273746CE" w:rsidR="00B66AD6" w:rsidRDefault="00A70BF7" w:rsidP="00703AF0">
      <w:pPr>
        <w:pStyle w:val="Paragraphedeliste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Être personnellement</w:t>
      </w:r>
      <w:r w:rsidR="006E25B0">
        <w:rPr>
          <w:rFonts w:ascii="Arial" w:hAnsi="Arial" w:cs="Arial"/>
        </w:rPr>
        <w:t xml:space="preserve"> exemplaire sur le plan fiscal</w:t>
      </w:r>
    </w:p>
    <w:p w14:paraId="5A18A24E" w14:textId="3DDFA680" w:rsidR="00A52590" w:rsidRDefault="00A70BF7" w:rsidP="00703AF0">
      <w:pPr>
        <w:pStyle w:val="Paragraphedeliste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Prouver l</w:t>
      </w:r>
      <w:r w:rsidR="008B5D67">
        <w:rPr>
          <w:rFonts w:ascii="Arial" w:hAnsi="Arial" w:cs="Arial"/>
        </w:rPr>
        <w:t>’existence d’</w:t>
      </w:r>
      <w:r w:rsidR="001C17DA">
        <w:rPr>
          <w:rFonts w:ascii="Arial" w:hAnsi="Arial" w:cs="Arial"/>
        </w:rPr>
        <w:t>une disproportion marquée entre le montant de la dette et ses ressources propres. En clair, l</w:t>
      </w:r>
      <w:r w:rsidR="002B3BB7">
        <w:rPr>
          <w:rFonts w:ascii="Arial" w:hAnsi="Arial" w:cs="Arial"/>
        </w:rPr>
        <w:t>a condition de</w:t>
      </w:r>
      <w:r w:rsidR="001C17DA">
        <w:rPr>
          <w:rFonts w:ascii="Arial" w:hAnsi="Arial" w:cs="Arial"/>
        </w:rPr>
        <w:t xml:space="preserve"> disproportion marquée signifie qu’après analyse pr</w:t>
      </w:r>
      <w:r w:rsidR="00703AF0">
        <w:rPr>
          <w:rFonts w:ascii="Arial" w:hAnsi="Arial" w:cs="Arial"/>
        </w:rPr>
        <w:t>écise, l’administration fiscale estime que l’ex-femme</w:t>
      </w:r>
      <w:r w:rsidR="001C17DA">
        <w:rPr>
          <w:rFonts w:ascii="Arial" w:hAnsi="Arial" w:cs="Arial"/>
        </w:rPr>
        <w:t xml:space="preserve"> n’a</w:t>
      </w:r>
      <w:r w:rsidR="00703AF0">
        <w:rPr>
          <w:rFonts w:ascii="Arial" w:hAnsi="Arial" w:cs="Arial"/>
        </w:rPr>
        <w:t xml:space="preserve"> vraiment</w:t>
      </w:r>
      <w:r w:rsidR="001C17DA">
        <w:rPr>
          <w:rFonts w:ascii="Arial" w:hAnsi="Arial" w:cs="Arial"/>
        </w:rPr>
        <w:t xml:space="preserve"> pas les moyens de payer la dette</w:t>
      </w:r>
      <w:r w:rsidR="002B3BB7">
        <w:rPr>
          <w:rFonts w:ascii="Arial" w:hAnsi="Arial" w:cs="Arial"/>
        </w:rPr>
        <w:t xml:space="preserve"> de son ex-conjoint</w:t>
      </w:r>
      <w:r w:rsidR="001C17DA">
        <w:rPr>
          <w:rFonts w:ascii="Arial" w:hAnsi="Arial" w:cs="Arial"/>
        </w:rPr>
        <w:t xml:space="preserve">, même en liquidant tout son patrimoine et son épargne, et en </w:t>
      </w:r>
      <w:r w:rsidR="003D6BC8">
        <w:rPr>
          <w:rFonts w:ascii="Arial" w:hAnsi="Arial" w:cs="Arial"/>
        </w:rPr>
        <w:t>vers</w:t>
      </w:r>
      <w:r w:rsidR="001C17DA">
        <w:rPr>
          <w:rFonts w:ascii="Arial" w:hAnsi="Arial" w:cs="Arial"/>
        </w:rPr>
        <w:t xml:space="preserve">ant une partie </w:t>
      </w:r>
      <w:r w:rsidR="003D6BC8">
        <w:rPr>
          <w:rFonts w:ascii="Arial" w:hAnsi="Arial" w:cs="Arial"/>
        </w:rPr>
        <w:t xml:space="preserve">substantielle </w:t>
      </w:r>
      <w:r w:rsidR="001C17DA">
        <w:rPr>
          <w:rFonts w:ascii="Arial" w:hAnsi="Arial" w:cs="Arial"/>
        </w:rPr>
        <w:t xml:space="preserve">de son salaire </w:t>
      </w:r>
      <w:r w:rsidR="003D6BC8">
        <w:rPr>
          <w:rFonts w:ascii="Arial" w:hAnsi="Arial" w:cs="Arial"/>
        </w:rPr>
        <w:t>pendant</w:t>
      </w:r>
      <w:r w:rsidR="001C17DA">
        <w:rPr>
          <w:rFonts w:ascii="Arial" w:hAnsi="Arial" w:cs="Arial"/>
        </w:rPr>
        <w:t xml:space="preserve"> 3 ans. </w:t>
      </w:r>
    </w:p>
    <w:p w14:paraId="4D5F6501" w14:textId="5A65C8C8" w:rsidR="00DA50E7" w:rsidRDefault="003D6BC8" w:rsidP="00075494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dispositif de DRS ne fonctionnait pas. En 2022, </w:t>
      </w:r>
      <w:r w:rsidR="00C26493">
        <w:rPr>
          <w:rFonts w:ascii="Arial" w:hAnsi="Arial" w:cs="Arial"/>
        </w:rPr>
        <w:t>moins de</w:t>
      </w:r>
      <w:r w:rsidR="00CD51E1">
        <w:rPr>
          <w:rFonts w:ascii="Arial" w:hAnsi="Arial" w:cs="Arial"/>
        </w:rPr>
        <w:t xml:space="preserve"> 39% des femmes arrivaient à remplir ses trois conditions, Entre 2014 et 2022</w:t>
      </w:r>
      <w:r w:rsidR="003260E0">
        <w:rPr>
          <w:rFonts w:ascii="Arial" w:hAnsi="Arial" w:cs="Arial"/>
        </w:rPr>
        <w:t xml:space="preserve">, </w:t>
      </w:r>
      <w:r w:rsidR="00C26493">
        <w:rPr>
          <w:rFonts w:ascii="Arial" w:hAnsi="Arial" w:cs="Arial"/>
        </w:rPr>
        <w:t>moins de</w:t>
      </w:r>
      <w:r w:rsidR="003260E0">
        <w:rPr>
          <w:rFonts w:ascii="Arial" w:hAnsi="Arial" w:cs="Arial"/>
        </w:rPr>
        <w:t xml:space="preserve"> 25% d’entre elles y arrivaient. Le problème résidait surtout dans la troisième condit</w:t>
      </w:r>
      <w:r w:rsidR="00D70885">
        <w:rPr>
          <w:rFonts w:ascii="Arial" w:hAnsi="Arial" w:cs="Arial"/>
        </w:rPr>
        <w:t>ion dite de « disproportion marquée »</w:t>
      </w:r>
      <w:r w:rsidR="0015151C">
        <w:rPr>
          <w:rFonts w:ascii="Arial" w:hAnsi="Arial" w:cs="Arial"/>
        </w:rPr>
        <w:t xml:space="preserve"> qui explique à elle seule 80% des refus de décharge</w:t>
      </w:r>
      <w:r w:rsidR="00D70885">
        <w:rPr>
          <w:rFonts w:ascii="Arial" w:hAnsi="Arial" w:cs="Arial"/>
        </w:rPr>
        <w:t xml:space="preserve">, car il suffisait que la femme travaille et conserve un peu d’épargne pour que sa demande soit </w:t>
      </w:r>
      <w:r w:rsidR="0015151C">
        <w:rPr>
          <w:rFonts w:ascii="Arial" w:hAnsi="Arial" w:cs="Arial"/>
        </w:rPr>
        <w:t xml:space="preserve">immédiatement rejetée. </w:t>
      </w:r>
    </w:p>
    <w:p w14:paraId="1FB1B7BF" w14:textId="4A7B30C1" w:rsidR="00DA50E7" w:rsidRDefault="00DA50E7" w:rsidP="00DA50E7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demande de </w:t>
      </w:r>
      <w:r w:rsidRPr="00DC3A58">
        <w:rPr>
          <w:rFonts w:ascii="Arial" w:hAnsi="Arial" w:cs="Arial"/>
          <w:b/>
          <w:bCs/>
        </w:rPr>
        <w:t>décharge gracieuse</w:t>
      </w:r>
      <w:r>
        <w:rPr>
          <w:rFonts w:ascii="Arial" w:hAnsi="Arial" w:cs="Arial"/>
        </w:rPr>
        <w:t xml:space="preserve">. </w:t>
      </w:r>
      <w:r w:rsidR="00E81352">
        <w:rPr>
          <w:rFonts w:ascii="Arial" w:hAnsi="Arial" w:cs="Arial"/>
        </w:rPr>
        <w:t xml:space="preserve">Tout contribuable qui a </w:t>
      </w:r>
      <w:r w:rsidR="0094095A">
        <w:rPr>
          <w:rFonts w:ascii="Arial" w:hAnsi="Arial" w:cs="Arial"/>
        </w:rPr>
        <w:t xml:space="preserve">des dettes fiscales peut demander à la </w:t>
      </w:r>
      <w:r w:rsidR="00E8262F">
        <w:rPr>
          <w:rFonts w:ascii="Arial" w:hAnsi="Arial" w:cs="Arial"/>
        </w:rPr>
        <w:t>D</w:t>
      </w:r>
      <w:r w:rsidR="0094095A">
        <w:rPr>
          <w:rFonts w:ascii="Arial" w:hAnsi="Arial" w:cs="Arial"/>
        </w:rPr>
        <w:t xml:space="preserve">irection des </w:t>
      </w:r>
      <w:r w:rsidR="00E8262F">
        <w:rPr>
          <w:rFonts w:ascii="Arial" w:hAnsi="Arial" w:cs="Arial"/>
        </w:rPr>
        <w:t>F</w:t>
      </w:r>
      <w:r w:rsidR="0094095A">
        <w:rPr>
          <w:rFonts w:ascii="Arial" w:hAnsi="Arial" w:cs="Arial"/>
        </w:rPr>
        <w:t xml:space="preserve">inances </w:t>
      </w:r>
      <w:r w:rsidR="00E8262F">
        <w:rPr>
          <w:rFonts w:ascii="Arial" w:hAnsi="Arial" w:cs="Arial"/>
        </w:rPr>
        <w:t>P</w:t>
      </w:r>
      <w:r w:rsidR="0094095A">
        <w:rPr>
          <w:rFonts w:ascii="Arial" w:hAnsi="Arial" w:cs="Arial"/>
        </w:rPr>
        <w:t>ubliques une remise gracieuse</w:t>
      </w:r>
      <w:r w:rsidR="00125B08">
        <w:rPr>
          <w:rFonts w:ascii="Arial" w:hAnsi="Arial" w:cs="Arial"/>
        </w:rPr>
        <w:t>,</w:t>
      </w:r>
      <w:r w:rsidR="0094095A">
        <w:rPr>
          <w:rFonts w:ascii="Arial" w:hAnsi="Arial" w:cs="Arial"/>
        </w:rPr>
        <w:t xml:space="preserve"> totale ou partielle</w:t>
      </w:r>
      <w:r w:rsidR="00125B08">
        <w:rPr>
          <w:rFonts w:ascii="Arial" w:hAnsi="Arial" w:cs="Arial"/>
        </w:rPr>
        <w:t>,</w:t>
      </w:r>
      <w:r w:rsidR="0094095A">
        <w:rPr>
          <w:rFonts w:ascii="Arial" w:hAnsi="Arial" w:cs="Arial"/>
        </w:rPr>
        <w:t xml:space="preserve"> de ces dettes. C’est l’objet de </w:t>
      </w:r>
      <w:r w:rsidR="0094095A" w:rsidRPr="00124C0E">
        <w:rPr>
          <w:rFonts w:ascii="Arial" w:hAnsi="Arial" w:cs="Arial"/>
          <w:b/>
          <w:bCs/>
        </w:rPr>
        <w:t>l’article L.247</w:t>
      </w:r>
      <w:r w:rsidR="0094095A">
        <w:rPr>
          <w:rFonts w:ascii="Arial" w:hAnsi="Arial" w:cs="Arial"/>
        </w:rPr>
        <w:t xml:space="preserve"> du Livre des procédures fiscales. Cette remise gracieuse, comme son nom l’indique, est au bon vouloir de l’administration fiscale. Elle </w:t>
      </w:r>
      <w:r w:rsidR="00124C0E">
        <w:rPr>
          <w:rFonts w:ascii="Arial" w:hAnsi="Arial" w:cs="Arial"/>
        </w:rPr>
        <w:t xml:space="preserve">accepte ou non, elle fait ce qu’elle veut. </w:t>
      </w:r>
    </w:p>
    <w:p w14:paraId="69131046" w14:textId="1892C253" w:rsidR="00B2577A" w:rsidRDefault="00125B08" w:rsidP="00125B08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des demandes gracieuses des dettes fiscales </w:t>
      </w:r>
      <w:r w:rsidR="00784A37">
        <w:rPr>
          <w:rFonts w:ascii="Arial" w:hAnsi="Arial" w:cs="Arial"/>
        </w:rPr>
        <w:t>de</w:t>
      </w:r>
      <w:r w:rsidR="005464AD">
        <w:rPr>
          <w:rFonts w:ascii="Arial" w:hAnsi="Arial" w:cs="Arial"/>
        </w:rPr>
        <w:t>s</w:t>
      </w:r>
      <w:r w:rsidR="00784A37">
        <w:rPr>
          <w:rFonts w:ascii="Arial" w:hAnsi="Arial" w:cs="Arial"/>
        </w:rPr>
        <w:t xml:space="preserve"> ex-mari</w:t>
      </w:r>
      <w:r w:rsidR="005464AD">
        <w:rPr>
          <w:rFonts w:ascii="Arial" w:hAnsi="Arial" w:cs="Arial"/>
        </w:rPr>
        <w:t>s</w:t>
      </w:r>
      <w:r w:rsidR="00784A37">
        <w:rPr>
          <w:rFonts w:ascii="Arial" w:hAnsi="Arial" w:cs="Arial"/>
        </w:rPr>
        <w:t xml:space="preserve">, les demandes étaient systématiquement refusées. La principale raison est que le </w:t>
      </w:r>
      <w:r w:rsidR="00784A37" w:rsidRPr="00B2577A">
        <w:rPr>
          <w:rFonts w:ascii="Arial" w:hAnsi="Arial" w:cs="Arial"/>
          <w:b/>
          <w:bCs/>
        </w:rPr>
        <w:t>foyer fiscal</w:t>
      </w:r>
      <w:r w:rsidR="00682639" w:rsidRPr="00B2577A">
        <w:rPr>
          <w:rFonts w:ascii="Arial" w:hAnsi="Arial" w:cs="Arial"/>
          <w:b/>
          <w:bCs/>
        </w:rPr>
        <w:t xml:space="preserve"> </w:t>
      </w:r>
      <w:r w:rsidR="00682639">
        <w:rPr>
          <w:rFonts w:ascii="Arial" w:hAnsi="Arial" w:cs="Arial"/>
        </w:rPr>
        <w:t>est considé</w:t>
      </w:r>
      <w:r w:rsidR="00434F29">
        <w:rPr>
          <w:rFonts w:ascii="Arial" w:hAnsi="Arial" w:cs="Arial"/>
        </w:rPr>
        <w:t>r</w:t>
      </w:r>
      <w:r w:rsidR="00682639">
        <w:rPr>
          <w:rFonts w:ascii="Arial" w:hAnsi="Arial" w:cs="Arial"/>
        </w:rPr>
        <w:t xml:space="preserve">é comme un </w:t>
      </w:r>
      <w:r w:rsidR="00682639" w:rsidRPr="00B2577A">
        <w:rPr>
          <w:rFonts w:ascii="Arial" w:hAnsi="Arial" w:cs="Arial"/>
          <w:b/>
          <w:bCs/>
        </w:rPr>
        <w:t>seul et même contribuable</w:t>
      </w:r>
      <w:r w:rsidR="00682639">
        <w:rPr>
          <w:rFonts w:ascii="Arial" w:hAnsi="Arial" w:cs="Arial"/>
        </w:rPr>
        <w:t xml:space="preserve">. </w:t>
      </w:r>
    </w:p>
    <w:p w14:paraId="7B227435" w14:textId="234D8D06" w:rsidR="00125B08" w:rsidRPr="00DA50E7" w:rsidRDefault="00682639" w:rsidP="00125B08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conséquent, si l’administration fiscale acceptait la décharge gracieuse, elle libérait de la dette aussi bien l’ex-femme que l’ex-mari. </w:t>
      </w:r>
      <w:r w:rsidR="00434F29">
        <w:rPr>
          <w:rFonts w:ascii="Arial" w:hAnsi="Arial" w:cs="Arial"/>
        </w:rPr>
        <w:t>Et ça, elle n’était pas prête à le faire</w:t>
      </w:r>
      <w:r w:rsidR="005464AD">
        <w:rPr>
          <w:rFonts w:ascii="Arial" w:hAnsi="Arial" w:cs="Arial"/>
        </w:rPr>
        <w:t>.</w:t>
      </w:r>
      <w:r w:rsidR="00434F29">
        <w:rPr>
          <w:rFonts w:ascii="Arial" w:hAnsi="Arial" w:cs="Arial"/>
        </w:rPr>
        <w:t xml:space="preserve"> </w:t>
      </w:r>
      <w:r w:rsidR="005464AD">
        <w:rPr>
          <w:rFonts w:ascii="Arial" w:hAnsi="Arial" w:cs="Arial"/>
        </w:rPr>
        <w:t>S</w:t>
      </w:r>
      <w:r w:rsidR="00D4443C">
        <w:rPr>
          <w:rFonts w:ascii="Arial" w:hAnsi="Arial" w:cs="Arial"/>
        </w:rPr>
        <w:t>i l’ex-mari est un fraudeur, il doit payer pour ce qu’il a fait.</w:t>
      </w:r>
      <w:r w:rsidR="00B2577A">
        <w:rPr>
          <w:rFonts w:ascii="Arial" w:hAnsi="Arial" w:cs="Arial"/>
        </w:rPr>
        <w:t xml:space="preserve"> </w:t>
      </w:r>
      <w:r w:rsidR="00320A91">
        <w:rPr>
          <w:rFonts w:ascii="Arial" w:hAnsi="Arial" w:cs="Arial"/>
        </w:rPr>
        <w:t>L’administration fiscale maintenait donc la dette</w:t>
      </w:r>
      <w:r w:rsidR="00075494">
        <w:rPr>
          <w:rFonts w:ascii="Arial" w:hAnsi="Arial" w:cs="Arial"/>
        </w:rPr>
        <w:t xml:space="preserve"> </w:t>
      </w:r>
      <w:r w:rsidR="00A86169">
        <w:rPr>
          <w:rFonts w:ascii="Arial" w:hAnsi="Arial" w:cs="Arial"/>
        </w:rPr>
        <w:t>et l’ex-femme innocente</w:t>
      </w:r>
      <w:r w:rsidR="00075494">
        <w:rPr>
          <w:rFonts w:ascii="Arial" w:hAnsi="Arial" w:cs="Arial"/>
        </w:rPr>
        <w:t>, prise dans la tourmente,</w:t>
      </w:r>
      <w:r w:rsidR="00A86169">
        <w:rPr>
          <w:rFonts w:ascii="Arial" w:hAnsi="Arial" w:cs="Arial"/>
        </w:rPr>
        <w:t xml:space="preserve"> n’était qu’un « dommage collatéral ».</w:t>
      </w:r>
    </w:p>
    <w:p w14:paraId="590CE308" w14:textId="77777777" w:rsidR="002320D4" w:rsidRDefault="002320D4" w:rsidP="007325DA">
      <w:pPr>
        <w:jc w:val="both"/>
        <w:rPr>
          <w:rFonts w:ascii="Arial" w:hAnsi="Arial" w:cs="Arial"/>
          <w:b/>
          <w:bCs/>
        </w:rPr>
      </w:pPr>
    </w:p>
    <w:p w14:paraId="2E5AC887" w14:textId="1F108D63" w:rsidR="00003434" w:rsidRDefault="00075494" w:rsidP="007325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nouvelle loi change la donne :</w:t>
      </w:r>
    </w:p>
    <w:p w14:paraId="7FC9D719" w14:textId="7DC7B347" w:rsidR="001B5ADC" w:rsidRDefault="00310E3C" w:rsidP="00756E16">
      <w:pPr>
        <w:jc w:val="both"/>
        <w:rPr>
          <w:rFonts w:ascii="Arial" w:hAnsi="Arial" w:cs="Arial"/>
        </w:rPr>
      </w:pPr>
      <w:r w:rsidRPr="00310E3C">
        <w:rPr>
          <w:rFonts w:ascii="Arial" w:hAnsi="Arial" w:cs="Arial"/>
        </w:rPr>
        <w:t xml:space="preserve">L’article n°4 modifie l’article L.247 du </w:t>
      </w:r>
      <w:r w:rsidR="002320D4">
        <w:rPr>
          <w:rFonts w:ascii="Arial" w:hAnsi="Arial" w:cs="Arial"/>
        </w:rPr>
        <w:t>L</w:t>
      </w:r>
      <w:r w:rsidRPr="00310E3C">
        <w:rPr>
          <w:rFonts w:ascii="Arial" w:hAnsi="Arial" w:cs="Arial"/>
        </w:rPr>
        <w:t xml:space="preserve">ivre des </w:t>
      </w:r>
      <w:r w:rsidR="002320D4">
        <w:rPr>
          <w:rFonts w:ascii="Arial" w:hAnsi="Arial" w:cs="Arial"/>
        </w:rPr>
        <w:t>p</w:t>
      </w:r>
      <w:r w:rsidRPr="00310E3C">
        <w:rPr>
          <w:rFonts w:ascii="Arial" w:hAnsi="Arial" w:cs="Arial"/>
        </w:rPr>
        <w:t>rocédures</w:t>
      </w:r>
      <w:r w:rsidR="002320D4">
        <w:rPr>
          <w:rFonts w:ascii="Arial" w:hAnsi="Arial" w:cs="Arial"/>
        </w:rPr>
        <w:t xml:space="preserve"> fiscales</w:t>
      </w:r>
      <w:r w:rsidRPr="00310E3C">
        <w:rPr>
          <w:rFonts w:ascii="Arial" w:hAnsi="Arial" w:cs="Arial"/>
        </w:rPr>
        <w:t xml:space="preserve"> en indiquant que l’ex-femme peut être considérée comme un « </w:t>
      </w:r>
      <w:r w:rsidRPr="00310E3C">
        <w:rPr>
          <w:rFonts w:ascii="Arial" w:hAnsi="Arial" w:cs="Arial"/>
          <w:b/>
          <w:bCs/>
        </w:rPr>
        <w:t>tiers à la dette</w:t>
      </w:r>
      <w:r w:rsidRPr="00310E3C">
        <w:rPr>
          <w:rFonts w:ascii="Arial" w:hAnsi="Arial" w:cs="Arial"/>
        </w:rPr>
        <w:t xml:space="preserve"> ». </w:t>
      </w:r>
      <w:r>
        <w:rPr>
          <w:rFonts w:ascii="Arial" w:hAnsi="Arial" w:cs="Arial"/>
        </w:rPr>
        <w:t xml:space="preserve">En clair : l’administration fiscale a le droit désormais de </w:t>
      </w:r>
      <w:r w:rsidR="00EF0F83">
        <w:rPr>
          <w:rFonts w:ascii="Arial" w:hAnsi="Arial" w:cs="Arial"/>
        </w:rPr>
        <w:t>distinguer les deux contribuables qui forment le foyer fiscal</w:t>
      </w:r>
      <w:r w:rsidR="00FB6B8A">
        <w:rPr>
          <w:rFonts w:ascii="Arial" w:hAnsi="Arial" w:cs="Arial"/>
        </w:rPr>
        <w:t xml:space="preserve"> dans le cadre de la remise gracieuse</w:t>
      </w:r>
      <w:r w:rsidR="00EF0F83">
        <w:rPr>
          <w:rFonts w:ascii="Arial" w:hAnsi="Arial" w:cs="Arial"/>
        </w:rPr>
        <w:t>. Elle pourra donc libérer l’ex-femme innocente</w:t>
      </w:r>
      <w:r w:rsidR="002339C2">
        <w:rPr>
          <w:rFonts w:ascii="Arial" w:hAnsi="Arial" w:cs="Arial"/>
        </w:rPr>
        <w:t xml:space="preserve"> de la dette fiscale</w:t>
      </w:r>
      <w:r w:rsidR="00EF0F83">
        <w:rPr>
          <w:rFonts w:ascii="Arial" w:hAnsi="Arial" w:cs="Arial"/>
        </w:rPr>
        <w:t>, mais</w:t>
      </w:r>
      <w:r w:rsidR="00FB6B8A">
        <w:rPr>
          <w:rFonts w:ascii="Arial" w:hAnsi="Arial" w:cs="Arial"/>
        </w:rPr>
        <w:t xml:space="preserve"> sans pour autant en </w:t>
      </w:r>
      <w:r w:rsidR="00EF0F83">
        <w:rPr>
          <w:rFonts w:ascii="Arial" w:hAnsi="Arial" w:cs="Arial"/>
        </w:rPr>
        <w:t xml:space="preserve">libérer l’ex-mari. </w:t>
      </w:r>
      <w:r w:rsidR="00E75A4F">
        <w:rPr>
          <w:rFonts w:ascii="Arial" w:hAnsi="Arial" w:cs="Arial"/>
        </w:rPr>
        <w:t>En cas d’acceptation de la remise gracieuse, elle arrêtera de poursuivre l’ex-femme</w:t>
      </w:r>
      <w:r w:rsidR="00756E16">
        <w:rPr>
          <w:rFonts w:ascii="Arial" w:hAnsi="Arial" w:cs="Arial"/>
        </w:rPr>
        <w:t xml:space="preserve"> mais continuera </w:t>
      </w:r>
      <w:r w:rsidR="00C16CDB">
        <w:rPr>
          <w:rFonts w:ascii="Arial" w:hAnsi="Arial" w:cs="Arial"/>
        </w:rPr>
        <w:t>à recouvrir l’intégralité de la dette sur le fraudeur</w:t>
      </w:r>
      <w:r w:rsidR="00756E16">
        <w:rPr>
          <w:rFonts w:ascii="Arial" w:hAnsi="Arial" w:cs="Arial"/>
        </w:rPr>
        <w:t>. Chacun paie ce dont il est responsable.</w:t>
      </w:r>
    </w:p>
    <w:p w14:paraId="6172C779" w14:textId="77777777" w:rsidR="001B5ADC" w:rsidRDefault="001B5ADC" w:rsidP="00756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que la remise gracieuse soit accordée, il faut que l’ex-femme remplisse deux conditions : </w:t>
      </w:r>
    </w:p>
    <w:p w14:paraId="0F21D199" w14:textId="4D114722" w:rsidR="001B5ADC" w:rsidRDefault="008B5D67" w:rsidP="001B5ADC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Être </w:t>
      </w:r>
      <w:r w:rsidR="001B5ADC">
        <w:rPr>
          <w:rFonts w:ascii="Arial" w:hAnsi="Arial" w:cs="Arial"/>
        </w:rPr>
        <w:t>séparé</w:t>
      </w:r>
      <w:r w:rsidR="00A70B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divorcé</w:t>
      </w:r>
      <w:r w:rsidR="00A70BF7">
        <w:rPr>
          <w:rFonts w:ascii="Arial" w:hAnsi="Arial" w:cs="Arial"/>
        </w:rPr>
        <w:t xml:space="preserve"> ou avoir rompu son Pacs</w:t>
      </w:r>
    </w:p>
    <w:p w14:paraId="6391AFCA" w14:textId="456F6B83" w:rsidR="000603BB" w:rsidRDefault="008B5D67" w:rsidP="000603BB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Être </w:t>
      </w:r>
      <w:r w:rsidR="001B5ADC">
        <w:rPr>
          <w:rFonts w:ascii="Arial" w:hAnsi="Arial" w:cs="Arial"/>
        </w:rPr>
        <w:t xml:space="preserve">personnellement exemplaire sur le plan fiscal (elle n’est ni </w:t>
      </w:r>
      <w:r w:rsidR="000603BB">
        <w:rPr>
          <w:rFonts w:ascii="Arial" w:hAnsi="Arial" w:cs="Arial"/>
        </w:rPr>
        <w:t xml:space="preserve">coupable, ni </w:t>
      </w:r>
      <w:r w:rsidR="001B5ADC">
        <w:rPr>
          <w:rFonts w:ascii="Arial" w:hAnsi="Arial" w:cs="Arial"/>
        </w:rPr>
        <w:t>complice de la fraude</w:t>
      </w:r>
      <w:r w:rsidR="000603BB">
        <w:rPr>
          <w:rFonts w:ascii="Arial" w:hAnsi="Arial" w:cs="Arial"/>
        </w:rPr>
        <w:t xml:space="preserve">, et elle a </w:t>
      </w:r>
      <w:r w:rsidR="002339C2">
        <w:rPr>
          <w:rFonts w:ascii="Arial" w:hAnsi="Arial" w:cs="Arial"/>
        </w:rPr>
        <w:t>personnellement</w:t>
      </w:r>
      <w:r w:rsidR="000603BB">
        <w:rPr>
          <w:rFonts w:ascii="Arial" w:hAnsi="Arial" w:cs="Arial"/>
        </w:rPr>
        <w:t xml:space="preserve"> effectué ses déclarations fiscales de manière irréprochable)</w:t>
      </w:r>
    </w:p>
    <w:p w14:paraId="6A82BC4D" w14:textId="042410ED" w:rsidR="00461F5A" w:rsidRDefault="005A0C4D" w:rsidP="00461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1F5A">
        <w:rPr>
          <w:rFonts w:ascii="Arial" w:hAnsi="Arial" w:cs="Arial"/>
        </w:rPr>
        <w:t>a capacité</w:t>
      </w:r>
      <w:r>
        <w:rPr>
          <w:rFonts w:ascii="Arial" w:hAnsi="Arial" w:cs="Arial"/>
        </w:rPr>
        <w:t xml:space="preserve"> financière</w:t>
      </w:r>
      <w:r w:rsidR="00461F5A">
        <w:rPr>
          <w:rFonts w:ascii="Arial" w:hAnsi="Arial" w:cs="Arial"/>
        </w:rPr>
        <w:t xml:space="preserve"> à payer la dette n’est donc plus une </w:t>
      </w:r>
      <w:r>
        <w:rPr>
          <w:rFonts w:ascii="Arial" w:hAnsi="Arial" w:cs="Arial"/>
        </w:rPr>
        <w:t xml:space="preserve">condition obligatoire dans ce nouveau recours gracieux. Ce qui primera, c’est son innocence </w:t>
      </w:r>
      <w:r w:rsidR="00DC31E6">
        <w:rPr>
          <w:rFonts w:ascii="Arial" w:hAnsi="Arial" w:cs="Arial"/>
        </w:rPr>
        <w:t>et le fait qu’elle n’était pas informée des fraudes de son ex-mari.</w:t>
      </w:r>
    </w:p>
    <w:p w14:paraId="4C01D64E" w14:textId="77777777" w:rsidR="00664F0A" w:rsidRDefault="00664F0A" w:rsidP="00461F5A">
      <w:pPr>
        <w:jc w:val="both"/>
        <w:rPr>
          <w:rFonts w:ascii="Arial" w:hAnsi="Arial" w:cs="Arial"/>
        </w:rPr>
      </w:pPr>
    </w:p>
    <w:p w14:paraId="496FFD73" w14:textId="53B0A9EF" w:rsidR="00664F0A" w:rsidRDefault="00664F0A" w:rsidP="00461F5A">
      <w:pPr>
        <w:jc w:val="both"/>
        <w:rPr>
          <w:rFonts w:ascii="Arial" w:hAnsi="Arial" w:cs="Arial"/>
        </w:rPr>
      </w:pPr>
      <w:r w:rsidRPr="000C50EC">
        <w:rPr>
          <w:rFonts w:ascii="Arial" w:hAnsi="Arial" w:cs="Arial"/>
          <w:b/>
          <w:bCs/>
        </w:rPr>
        <w:t xml:space="preserve">Enfin, le deuxième alinéa de cet article </w:t>
      </w:r>
      <w:r w:rsidR="00076BD0" w:rsidRPr="000C50EC">
        <w:rPr>
          <w:rFonts w:ascii="Arial" w:hAnsi="Arial" w:cs="Arial"/>
          <w:b/>
          <w:bCs/>
        </w:rPr>
        <w:t>précise que cette loi est rétroactive</w:t>
      </w:r>
      <w:r w:rsidR="00076BD0">
        <w:rPr>
          <w:rFonts w:ascii="Arial" w:hAnsi="Arial" w:cs="Arial"/>
        </w:rPr>
        <w:t xml:space="preserve">. Habituellement, les lois </w:t>
      </w:r>
      <w:r w:rsidR="002B7491">
        <w:rPr>
          <w:rFonts w:ascii="Arial" w:hAnsi="Arial" w:cs="Arial"/>
        </w:rPr>
        <w:t xml:space="preserve">fiscales </w:t>
      </w:r>
      <w:r w:rsidR="00076BD0">
        <w:rPr>
          <w:rFonts w:ascii="Arial" w:hAnsi="Arial" w:cs="Arial"/>
        </w:rPr>
        <w:t>ne s’appliquent qu’aux nouveaux cas. Les ex-femmes qui sont en cours de procédure ne p</w:t>
      </w:r>
      <w:r w:rsidR="008102FB">
        <w:rPr>
          <w:rFonts w:ascii="Arial" w:hAnsi="Arial" w:cs="Arial"/>
        </w:rPr>
        <w:t>e</w:t>
      </w:r>
      <w:r w:rsidR="00076BD0">
        <w:rPr>
          <w:rFonts w:ascii="Arial" w:hAnsi="Arial" w:cs="Arial"/>
        </w:rPr>
        <w:t>uvent pas en bénéficier.</w:t>
      </w:r>
      <w:r w:rsidR="008102FB">
        <w:rPr>
          <w:rFonts w:ascii="Arial" w:hAnsi="Arial" w:cs="Arial"/>
        </w:rPr>
        <w:t xml:space="preserve"> Le gouvernement a souhaité faire une exception pour cette loi</w:t>
      </w:r>
      <w:r w:rsidR="00702CEF">
        <w:rPr>
          <w:rFonts w:ascii="Arial" w:hAnsi="Arial" w:cs="Arial"/>
        </w:rPr>
        <w:t xml:space="preserve"> en permettant à celles (et à ceux) qui sont actuellement dans la tourmente de pouvoir en bénéficier.</w:t>
      </w:r>
    </w:p>
    <w:p w14:paraId="1A8F67D0" w14:textId="14D1C496" w:rsidR="00702CEF" w:rsidRDefault="00702CEF" w:rsidP="00461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les cas très anciens, nous attendons </w:t>
      </w:r>
      <w:r w:rsidR="008A26F3">
        <w:rPr>
          <w:rFonts w:ascii="Arial" w:hAnsi="Arial" w:cs="Arial"/>
        </w:rPr>
        <w:t xml:space="preserve">de la part du ministère </w:t>
      </w:r>
      <w:r>
        <w:rPr>
          <w:rFonts w:ascii="Arial" w:hAnsi="Arial" w:cs="Arial"/>
        </w:rPr>
        <w:t>des précisions sur cette rétroactivité</w:t>
      </w:r>
      <w:r w:rsidR="008A26F3">
        <w:rPr>
          <w:rFonts w:ascii="Arial" w:hAnsi="Arial" w:cs="Arial"/>
        </w:rPr>
        <w:t>. Nous vous informerons des réponses reçues. Pour l’instant, nous savons que les cas en cours verront ce dispositif s’appliquer.</w:t>
      </w:r>
    </w:p>
    <w:p w14:paraId="1781AF60" w14:textId="77777777" w:rsidR="00395E7A" w:rsidRDefault="00395E7A" w:rsidP="00461F5A">
      <w:pPr>
        <w:jc w:val="both"/>
        <w:rPr>
          <w:rFonts w:ascii="Arial" w:hAnsi="Arial" w:cs="Arial"/>
        </w:rPr>
      </w:pPr>
    </w:p>
    <w:p w14:paraId="7EF13793" w14:textId="77777777" w:rsidR="006E13E3" w:rsidRPr="00A70BF7" w:rsidRDefault="00395E7A" w:rsidP="00461F5A">
      <w:pPr>
        <w:jc w:val="both"/>
        <w:rPr>
          <w:rFonts w:ascii="Arial" w:hAnsi="Arial" w:cs="Arial"/>
          <w:b/>
          <w:bCs/>
        </w:rPr>
      </w:pPr>
      <w:r w:rsidRPr="00A70BF7">
        <w:rPr>
          <w:rFonts w:ascii="Arial" w:hAnsi="Arial" w:cs="Arial"/>
          <w:b/>
          <w:bCs/>
        </w:rPr>
        <w:t>En conclusion, il existe désormais</w:t>
      </w:r>
      <w:r w:rsidR="006E13E3" w:rsidRPr="00A70BF7">
        <w:rPr>
          <w:rFonts w:ascii="Arial" w:hAnsi="Arial" w:cs="Arial"/>
          <w:b/>
          <w:bCs/>
        </w:rPr>
        <w:t xml:space="preserve"> </w:t>
      </w:r>
      <w:r w:rsidR="006E13E3" w:rsidRPr="00A70BF7">
        <w:rPr>
          <w:rFonts w:ascii="Arial" w:hAnsi="Arial" w:cs="Arial"/>
          <w:b/>
          <w:bCs/>
          <w:u w:val="single"/>
        </w:rPr>
        <w:t>trois manières</w:t>
      </w:r>
      <w:r w:rsidR="006E13E3" w:rsidRPr="00A70BF7">
        <w:rPr>
          <w:rFonts w:ascii="Arial" w:hAnsi="Arial" w:cs="Arial"/>
          <w:b/>
          <w:bCs/>
        </w:rPr>
        <w:t xml:space="preserve"> d’être déchargé de la dette fiscale de votre ex-conjoint : </w:t>
      </w:r>
    </w:p>
    <w:p w14:paraId="69761021" w14:textId="77777777" w:rsidR="004D3CEA" w:rsidRDefault="006E13E3" w:rsidP="00A70BF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dispositif classique de </w:t>
      </w:r>
      <w:r w:rsidR="004D3CEA">
        <w:rPr>
          <w:rFonts w:ascii="Arial" w:hAnsi="Arial" w:cs="Arial"/>
        </w:rPr>
        <w:t>« </w:t>
      </w:r>
      <w:r>
        <w:rPr>
          <w:rFonts w:ascii="Arial" w:hAnsi="Arial" w:cs="Arial"/>
        </w:rPr>
        <w:t>DRS</w:t>
      </w:r>
      <w:r w:rsidR="004D3CEA">
        <w:rPr>
          <w:rFonts w:ascii="Arial" w:hAnsi="Arial" w:cs="Arial"/>
        </w:rPr>
        <w:t> »</w:t>
      </w:r>
      <w:r w:rsidR="00395E7A" w:rsidRPr="006E13E3">
        <w:rPr>
          <w:rFonts w:ascii="Arial" w:hAnsi="Arial" w:cs="Arial"/>
        </w:rPr>
        <w:t xml:space="preserve"> </w:t>
      </w:r>
      <w:r w:rsidR="004D3CEA">
        <w:rPr>
          <w:rFonts w:ascii="Arial" w:hAnsi="Arial" w:cs="Arial"/>
        </w:rPr>
        <w:t>(expliqué ci-dessus) ;</w:t>
      </w:r>
    </w:p>
    <w:p w14:paraId="55802CCA" w14:textId="67CAFFF7" w:rsidR="004D3CEA" w:rsidRDefault="004D3CEA" w:rsidP="00A70BF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recours gracieux pour l</w:t>
      </w:r>
      <w:r w:rsidR="00982A3C">
        <w:rPr>
          <w:rFonts w:ascii="Arial" w:hAnsi="Arial" w:cs="Arial"/>
        </w:rPr>
        <w:t>’ensemble du</w:t>
      </w:r>
      <w:r>
        <w:rPr>
          <w:rFonts w:ascii="Arial" w:hAnsi="Arial" w:cs="Arial"/>
        </w:rPr>
        <w:t xml:space="preserve"> foyer fiscal (pas la peine d’essayer, cela ne fonctionne jamais)</w:t>
      </w:r>
    </w:p>
    <w:p w14:paraId="408AAD37" w14:textId="1CFE2467" w:rsidR="00395E7A" w:rsidRPr="006E13E3" w:rsidRDefault="00982A3C" w:rsidP="00A70BF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recours gracieux pour le « tiers à la dette » (le nouveau dispositif qui devrait fonctionner) </w:t>
      </w:r>
    </w:p>
    <w:p w14:paraId="5FF7B7A9" w14:textId="77777777" w:rsidR="00A52590" w:rsidRDefault="00A52590" w:rsidP="007325DA">
      <w:pPr>
        <w:jc w:val="both"/>
        <w:rPr>
          <w:rFonts w:ascii="Arial" w:hAnsi="Arial" w:cs="Arial"/>
          <w:b/>
          <w:bCs/>
        </w:rPr>
      </w:pPr>
    </w:p>
    <w:p w14:paraId="083852BF" w14:textId="0C60C91B" w:rsidR="003D3A45" w:rsidRPr="007325DA" w:rsidRDefault="00AE6B7F" w:rsidP="007325DA">
      <w:pPr>
        <w:ind w:left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6F8A02" wp14:editId="7B71DEE9">
                <wp:simplePos x="0" y="0"/>
                <wp:positionH relativeFrom="column">
                  <wp:posOffset>-218598</wp:posOffset>
                </wp:positionH>
                <wp:positionV relativeFrom="paragraph">
                  <wp:posOffset>83944</wp:posOffset>
                </wp:positionV>
                <wp:extent cx="6463553" cy="2209288"/>
                <wp:effectExtent l="0" t="0" r="13970" b="19685"/>
                <wp:wrapNone/>
                <wp:docPr id="19942170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553" cy="22092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555CF3" id="Rectangle 1" o:spid="_x0000_s1026" style="position:absolute;margin-left:-17.2pt;margin-top:6.6pt;width:508.95pt;height:173.9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" fillcolor="#fbe4d5 [661]" strokecolor="#fbe4d5 [661]" strokeweight="1pt"/>
            </w:pict>
          </mc:Fallback>
        </mc:AlternateContent>
      </w:r>
    </w:p>
    <w:p w14:paraId="045718C3" w14:textId="28B49BEA" w:rsidR="003D3A45" w:rsidRPr="007325DA" w:rsidRDefault="00447C6C" w:rsidP="007325DA">
      <w:pPr>
        <w:jc w:val="both"/>
        <w:rPr>
          <w:rFonts w:ascii="Arial" w:hAnsi="Arial" w:cs="Arial"/>
          <w:b/>
          <w:bCs/>
        </w:rPr>
      </w:pPr>
      <w:r w:rsidRPr="007325DA">
        <w:rPr>
          <w:rFonts w:ascii="Arial" w:hAnsi="Arial" w:cs="Arial"/>
          <w:b/>
          <w:bCs/>
        </w:rPr>
        <w:t>ARTICLE N°5</w:t>
      </w:r>
      <w:r w:rsidR="00335E35" w:rsidRPr="007325DA">
        <w:rPr>
          <w:rFonts w:ascii="Arial" w:hAnsi="Arial" w:cs="Arial"/>
          <w:b/>
          <w:bCs/>
        </w:rPr>
        <w:t xml:space="preserve"> </w:t>
      </w:r>
    </w:p>
    <w:p w14:paraId="545E0217" w14:textId="2ACAAC0C" w:rsidR="003D3A45" w:rsidRPr="007325DA" w:rsidRDefault="008F7675" w:rsidP="007325D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3A45" w:rsidRPr="007325DA">
        <w:rPr>
          <w:rFonts w:ascii="Arial" w:hAnsi="Arial" w:cs="Arial"/>
        </w:rPr>
        <w:t xml:space="preserve">La seconde phrase du d du 2 du II de l’article 1691 bis du code général des impôts est ainsi rédigée : « La décharge de l’obligation de paiement des intérêts de retard et des pénalités mentionnées aux mêmes articles 1727, 1728, 1729, 1732 et 1758 A est prononcée, dans les autres situations, dans les proportions définies aux a, b ou c du présent 2. » </w:t>
      </w:r>
    </w:p>
    <w:p w14:paraId="6BB7E826" w14:textId="546CD1FD" w:rsidR="00335E35" w:rsidRDefault="003D3A45" w:rsidP="007325D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325DA">
        <w:rPr>
          <w:rFonts w:ascii="Arial" w:hAnsi="Arial" w:cs="Arial"/>
        </w:rPr>
        <w:t>– La perte de recettes résultant pour l’Etat du I est compensée, à due concurrence, par la création d’une taxe additionnelle à l’accise sur les tabacs prévue au chapitre IV du titre I er du livre III du code des impositions sur les biens et services.</w:t>
      </w:r>
    </w:p>
    <w:p w14:paraId="340F6CE6" w14:textId="77777777" w:rsidR="002F2A95" w:rsidRPr="007325DA" w:rsidRDefault="002F2A95" w:rsidP="007325DA">
      <w:pPr>
        <w:ind w:left="360"/>
        <w:jc w:val="both"/>
        <w:rPr>
          <w:rFonts w:ascii="Arial" w:hAnsi="Arial" w:cs="Arial"/>
        </w:rPr>
      </w:pPr>
    </w:p>
    <w:p w14:paraId="4BF8BC7A" w14:textId="77777777" w:rsidR="0052226F" w:rsidRDefault="0052226F" w:rsidP="00884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11952D58" w14:textId="23A0EA08" w:rsidR="00390E39" w:rsidRDefault="00664F0A" w:rsidP="00395E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EXPLICATION ARTICLE N°5</w:t>
      </w:r>
    </w:p>
    <w:p w14:paraId="43A974CD" w14:textId="77777777" w:rsidR="009D235C" w:rsidRDefault="00701557" w:rsidP="00884716">
      <w:pPr>
        <w:spacing w:line="360" w:lineRule="auto"/>
        <w:ind w:left="360"/>
        <w:jc w:val="both"/>
        <w:rPr>
          <w:rFonts w:ascii="Arial" w:hAnsi="Arial" w:cs="Arial"/>
        </w:rPr>
      </w:pPr>
      <w:r w:rsidRPr="00701557">
        <w:rPr>
          <w:rFonts w:ascii="Arial" w:hAnsi="Arial" w:cs="Arial"/>
        </w:rPr>
        <w:t xml:space="preserve">Cet article modifie un détail de l’article 1691 </w:t>
      </w:r>
      <w:r w:rsidRPr="00FF4649">
        <w:rPr>
          <w:rFonts w:ascii="Arial" w:hAnsi="Arial" w:cs="Arial"/>
          <w:i/>
          <w:iCs/>
        </w:rPr>
        <w:t>bis</w:t>
      </w:r>
      <w:r w:rsidRPr="00701557">
        <w:rPr>
          <w:rFonts w:ascii="Arial" w:hAnsi="Arial" w:cs="Arial"/>
        </w:rPr>
        <w:t xml:space="preserve"> </w:t>
      </w:r>
      <w:r w:rsidR="00FF4649">
        <w:rPr>
          <w:rFonts w:ascii="Arial" w:hAnsi="Arial" w:cs="Arial"/>
        </w:rPr>
        <w:t xml:space="preserve">du Code Général des Impôts </w:t>
      </w:r>
      <w:r w:rsidRPr="00701557">
        <w:rPr>
          <w:rFonts w:ascii="Arial" w:hAnsi="Arial" w:cs="Arial"/>
        </w:rPr>
        <w:t>qui a toute son importance pour les victimes</w:t>
      </w:r>
      <w:r>
        <w:rPr>
          <w:rFonts w:ascii="Arial" w:hAnsi="Arial" w:cs="Arial"/>
        </w:rPr>
        <w:t xml:space="preserve">. </w:t>
      </w:r>
    </w:p>
    <w:p w14:paraId="07483F97" w14:textId="1DC35C60" w:rsidR="009D235C" w:rsidRDefault="008B5D67" w:rsidP="0088471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Aujourd’hui</w:t>
      </w:r>
      <w:r w:rsidR="00A70BF7">
        <w:rPr>
          <w:rFonts w:ascii="Arial" w:hAnsi="Arial" w:cs="Arial"/>
        </w:rPr>
        <w:t>,</w:t>
      </w:r>
      <w:r w:rsidR="00701557">
        <w:rPr>
          <w:rFonts w:ascii="Arial" w:hAnsi="Arial" w:cs="Arial"/>
        </w:rPr>
        <w:t xml:space="preserve"> </w:t>
      </w:r>
      <w:r w:rsidR="00276D10">
        <w:rPr>
          <w:rFonts w:ascii="Arial" w:hAnsi="Arial" w:cs="Arial"/>
        </w:rPr>
        <w:t>les rares chanceuses qui obtenaient une décharge en responsabilité solidaire</w:t>
      </w:r>
      <w:r w:rsidR="00D932AC">
        <w:rPr>
          <w:rFonts w:ascii="Arial" w:hAnsi="Arial" w:cs="Arial"/>
        </w:rPr>
        <w:t>,</w:t>
      </w:r>
      <w:r w:rsidR="00276D10">
        <w:rPr>
          <w:rFonts w:ascii="Arial" w:hAnsi="Arial" w:cs="Arial"/>
        </w:rPr>
        <w:t xml:space="preserve"> par le dispositif classique de la « DRS »</w:t>
      </w:r>
      <w:r w:rsidR="00FF4649">
        <w:rPr>
          <w:rFonts w:ascii="Arial" w:hAnsi="Arial" w:cs="Arial"/>
        </w:rPr>
        <w:t xml:space="preserve">, n’étaient </w:t>
      </w:r>
      <w:r w:rsidR="00FF4649" w:rsidRPr="00FF4649">
        <w:rPr>
          <w:rFonts w:ascii="Arial" w:hAnsi="Arial" w:cs="Arial"/>
          <w:u w:val="single"/>
        </w:rPr>
        <w:t>jamais</w:t>
      </w:r>
      <w:r w:rsidR="00FF4649">
        <w:rPr>
          <w:rFonts w:ascii="Arial" w:hAnsi="Arial" w:cs="Arial"/>
        </w:rPr>
        <w:t xml:space="preserve"> déchargées de la totalité des sommes </w:t>
      </w:r>
      <w:r w:rsidR="00D932AC">
        <w:rPr>
          <w:rFonts w:ascii="Arial" w:hAnsi="Arial" w:cs="Arial"/>
        </w:rPr>
        <w:t>dues</w:t>
      </w:r>
      <w:r w:rsidR="00FF4649">
        <w:rPr>
          <w:rFonts w:ascii="Arial" w:hAnsi="Arial" w:cs="Arial"/>
        </w:rPr>
        <w:t xml:space="preserve"> aux impôts. En effet, elles étaient déchargées du </w:t>
      </w:r>
      <w:r w:rsidR="002B019E">
        <w:rPr>
          <w:rFonts w:ascii="Arial" w:hAnsi="Arial" w:cs="Arial"/>
        </w:rPr>
        <w:t xml:space="preserve">principal de la dette, mais devaient tout de même payer une partie des pénalités et des intérêts de retards liés à cette dette. </w:t>
      </w:r>
    </w:p>
    <w:p w14:paraId="60BE0BB6" w14:textId="3B27F755" w:rsidR="00664F0A" w:rsidRDefault="002B019E" w:rsidP="0088471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Par un savant calcul de l’administration fiscale, en fonction des revenus de chacun dans le foyer commun, un pourcentage de ces pénalités et intérêts de retard était attribué à l’ex-femme innocente. Elle</w:t>
      </w:r>
      <w:r w:rsidR="00EA32D5">
        <w:rPr>
          <w:rFonts w:ascii="Arial" w:hAnsi="Arial" w:cs="Arial"/>
        </w:rPr>
        <w:t xml:space="preserve"> devait donc payer cette partie.</w:t>
      </w:r>
    </w:p>
    <w:p w14:paraId="6C7A8681" w14:textId="00B18025" w:rsidR="00664F0A" w:rsidRPr="00E56418" w:rsidRDefault="00971E7C" w:rsidP="00E5641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L’article n°5 met fin à cette injustice en précisant que les personnes </w:t>
      </w:r>
      <w:r w:rsidR="00E56418">
        <w:rPr>
          <w:rFonts w:ascii="Arial" w:hAnsi="Arial" w:cs="Arial"/>
        </w:rPr>
        <w:t>qui ont été déchargées n’auront plus à payer cette quote-part des pénalités et intérêts de retard. En clair, la décharge peut désormais être totale.</w:t>
      </w:r>
    </w:p>
    <w:p w14:paraId="5E148EEB" w14:textId="5E824C77" w:rsidR="00664F0A" w:rsidRDefault="00E56418" w:rsidP="00884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BC69A4" wp14:editId="429356F7">
                <wp:simplePos x="0" y="0"/>
                <wp:positionH relativeFrom="column">
                  <wp:posOffset>-169097</wp:posOffset>
                </wp:positionH>
                <wp:positionV relativeFrom="paragraph">
                  <wp:posOffset>188169</wp:posOffset>
                </wp:positionV>
                <wp:extent cx="6463553" cy="2528408"/>
                <wp:effectExtent l="0" t="0" r="13970" b="24765"/>
                <wp:wrapNone/>
                <wp:docPr id="3433562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553" cy="25284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786A4D" id="Rectangle 1" o:spid="_x0000_s1026" style="position:absolute;margin-left:-13.3pt;margin-top:14.8pt;width:508.95pt;height:199.1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" fillcolor="#fbe4d5 [661]" strokecolor="#fbe4d5 [661]" strokeweight="1pt"/>
            </w:pict>
          </mc:Fallback>
        </mc:AlternateContent>
      </w:r>
    </w:p>
    <w:p w14:paraId="4489D153" w14:textId="77777777" w:rsidR="00664F0A" w:rsidRPr="00AE6B7F" w:rsidRDefault="00664F0A" w:rsidP="00664F0A">
      <w:pPr>
        <w:jc w:val="both"/>
        <w:rPr>
          <w:rFonts w:ascii="Arial" w:hAnsi="Arial" w:cs="Arial"/>
        </w:rPr>
      </w:pPr>
      <w:r w:rsidRPr="007325DA">
        <w:rPr>
          <w:rFonts w:ascii="Arial" w:hAnsi="Arial" w:cs="Arial"/>
          <w:b/>
          <w:bCs/>
        </w:rPr>
        <w:t>ARTICLE N°6</w:t>
      </w:r>
    </w:p>
    <w:p w14:paraId="76303F15" w14:textId="77777777" w:rsidR="00664F0A" w:rsidRDefault="00664F0A" w:rsidP="00664F0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325DA">
        <w:rPr>
          <w:rFonts w:ascii="Arial" w:hAnsi="Arial" w:cs="Arial"/>
        </w:rPr>
        <w:t>– Le IV de l’article 1691 bis du code général des impôts est ainsi modifié : 1o Le mot : « ne » est supprimé ; 2o Sont ajoutés les mots : « des sommes recouvrées à compter de l’un des événements mentionnés aux a à d du 1 du II ».</w:t>
      </w:r>
    </w:p>
    <w:p w14:paraId="33F0F1FB" w14:textId="77777777" w:rsidR="00664F0A" w:rsidRDefault="00664F0A" w:rsidP="00664F0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325DA">
        <w:rPr>
          <w:rFonts w:ascii="Arial" w:hAnsi="Arial" w:cs="Arial"/>
        </w:rPr>
        <w:t xml:space="preserve">– La perte de recettes résultant pour l’Etat du I est compensée, à due concurrence, par la création d’une taxe additionnelle à l’accise sur les tabacs prévue au chapitre IV du titre I er du livre III du code des impositions sur les biens et services. </w:t>
      </w:r>
    </w:p>
    <w:p w14:paraId="3D7FECA5" w14:textId="77777777" w:rsidR="00664F0A" w:rsidRPr="007325DA" w:rsidRDefault="00664F0A" w:rsidP="00664F0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325DA">
        <w:rPr>
          <w:rFonts w:ascii="Arial" w:hAnsi="Arial" w:cs="Arial"/>
        </w:rPr>
        <w:t>– Le I s’applique aux personnes pour lesquelles la demande de décharge de l’obligation de paiement mentionnée au II de l’article 1691 bis du code général des impôts n’a donné lieu, à la date d’entrée en vigueur de la présente loi, ni à une décision définitive de la part de l’administration fiscale, ni à une décision de justice passée en force de chose jugée.</w:t>
      </w:r>
    </w:p>
    <w:p w14:paraId="1CC8203F" w14:textId="77777777" w:rsidR="00664F0A" w:rsidRPr="007325DA" w:rsidRDefault="00664F0A" w:rsidP="00884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4E6BEDF5" w14:textId="77777777" w:rsidR="00E56418" w:rsidRDefault="00E56418" w:rsidP="00E5641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C38CF8E" w14:textId="69FA9D28" w:rsidR="00E56418" w:rsidRDefault="00E56418" w:rsidP="00E5641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EXPLICATION ARTICLE N°6</w:t>
      </w:r>
    </w:p>
    <w:p w14:paraId="2B01DC40" w14:textId="389C61D3" w:rsidR="00E56418" w:rsidRDefault="00932DE7" w:rsidP="00E56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Dernière mesure de justice de cette loi : les ex-femmes pourront être remboursées des sommes saisies par l’administration fiscale avant la date de dépôt d’une demande de décharge.</w:t>
      </w:r>
    </w:p>
    <w:p w14:paraId="6E6269CC" w14:textId="77777777" w:rsidR="00363A5F" w:rsidRDefault="00932DE7" w:rsidP="00E56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Jusqu’à présent, </w:t>
      </w:r>
      <w:r w:rsidR="00522C69">
        <w:rPr>
          <w:rFonts w:ascii="Arial" w:hAnsi="Arial" w:cs="Arial"/>
        </w:rPr>
        <w:t>voici comment cela se passait : l’ex-femme recevait un beau matin un avis de recouvrement à effet immédiat portant sur une dette fiscale de son ex-mari.</w:t>
      </w:r>
      <w:r w:rsidR="00D54204">
        <w:rPr>
          <w:rFonts w:ascii="Arial" w:hAnsi="Arial" w:cs="Arial"/>
        </w:rPr>
        <w:t xml:space="preserve"> Avant même qu’elle </w:t>
      </w:r>
      <w:r w:rsidR="00394778">
        <w:rPr>
          <w:rFonts w:ascii="Arial" w:hAnsi="Arial" w:cs="Arial"/>
        </w:rPr>
        <w:t>ait le temps de s</w:t>
      </w:r>
      <w:r w:rsidR="00D54204">
        <w:rPr>
          <w:rFonts w:ascii="Arial" w:hAnsi="Arial" w:cs="Arial"/>
        </w:rPr>
        <w:t>’informe</w:t>
      </w:r>
      <w:r w:rsidR="00394778">
        <w:rPr>
          <w:rFonts w:ascii="Arial" w:hAnsi="Arial" w:cs="Arial"/>
        </w:rPr>
        <w:t>r</w:t>
      </w:r>
      <w:r w:rsidR="00D54204">
        <w:rPr>
          <w:rFonts w:ascii="Arial" w:hAnsi="Arial" w:cs="Arial"/>
        </w:rPr>
        <w:t xml:space="preserve"> sur les recours possibles, l’administration fiscale </w:t>
      </w:r>
      <w:r w:rsidR="002C41D8">
        <w:rPr>
          <w:rFonts w:ascii="Arial" w:hAnsi="Arial" w:cs="Arial"/>
        </w:rPr>
        <w:t>saisissait</w:t>
      </w:r>
      <w:r w:rsidR="00D54204">
        <w:rPr>
          <w:rFonts w:ascii="Arial" w:hAnsi="Arial" w:cs="Arial"/>
        </w:rPr>
        <w:t xml:space="preserve"> </w:t>
      </w:r>
      <w:r w:rsidR="002C41D8">
        <w:rPr>
          <w:rFonts w:ascii="Arial" w:hAnsi="Arial" w:cs="Arial"/>
        </w:rPr>
        <w:t>son compte bancaire et son salaire pour commencer à régler la dette.</w:t>
      </w:r>
      <w:r w:rsidR="00394778">
        <w:rPr>
          <w:rFonts w:ascii="Arial" w:hAnsi="Arial" w:cs="Arial"/>
        </w:rPr>
        <w:t xml:space="preserve"> La femme finissait par comprendre qu’elle pouvait faire une DRS</w:t>
      </w:r>
      <w:r w:rsidR="001D41DF">
        <w:rPr>
          <w:rFonts w:ascii="Arial" w:hAnsi="Arial" w:cs="Arial"/>
        </w:rPr>
        <w:t xml:space="preserve"> et elle déposait sa demande dès que possible. Or, le dispositif de DRS précise que la demande ne porte que sur les sommes restant dues </w:t>
      </w:r>
      <w:r w:rsidR="001D41DF" w:rsidRPr="000673C4">
        <w:rPr>
          <w:rFonts w:ascii="Arial" w:hAnsi="Arial" w:cs="Arial"/>
          <w:u w:val="single"/>
        </w:rPr>
        <w:t xml:space="preserve">à la </w:t>
      </w:r>
      <w:r w:rsidR="001D41DF" w:rsidRPr="000673C4">
        <w:rPr>
          <w:rFonts w:ascii="Arial" w:hAnsi="Arial" w:cs="Arial"/>
          <w:u w:val="single"/>
        </w:rPr>
        <w:lastRenderedPageBreak/>
        <w:t>date de dépôt de la demande</w:t>
      </w:r>
      <w:r w:rsidR="001D41DF">
        <w:rPr>
          <w:rFonts w:ascii="Arial" w:hAnsi="Arial" w:cs="Arial"/>
        </w:rPr>
        <w:t>. Ce qui signifie que l’argent saisi avant la demande n’était jamais pris en compte dans la décharge</w:t>
      </w:r>
      <w:r w:rsidR="00904701">
        <w:rPr>
          <w:rFonts w:ascii="Arial" w:hAnsi="Arial" w:cs="Arial"/>
        </w:rPr>
        <w:t>.</w:t>
      </w:r>
      <w:r w:rsidR="001D41DF">
        <w:rPr>
          <w:rFonts w:ascii="Arial" w:hAnsi="Arial" w:cs="Arial"/>
        </w:rPr>
        <w:t xml:space="preserve"> </w:t>
      </w:r>
      <w:r w:rsidR="00904701">
        <w:rPr>
          <w:rFonts w:ascii="Arial" w:hAnsi="Arial" w:cs="Arial"/>
        </w:rPr>
        <w:t>L</w:t>
      </w:r>
      <w:r w:rsidR="000673C4">
        <w:rPr>
          <w:rFonts w:ascii="Arial" w:hAnsi="Arial" w:cs="Arial"/>
        </w:rPr>
        <w:t xml:space="preserve">a femme ne pouvait jamais </w:t>
      </w:r>
      <w:r w:rsidR="00904701">
        <w:rPr>
          <w:rFonts w:ascii="Arial" w:hAnsi="Arial" w:cs="Arial"/>
        </w:rPr>
        <w:t>récupérer l’argent saisi avant</w:t>
      </w:r>
      <w:r w:rsidR="006C5F7A">
        <w:rPr>
          <w:rFonts w:ascii="Arial" w:hAnsi="Arial" w:cs="Arial"/>
        </w:rPr>
        <w:t>,</w:t>
      </w:r>
      <w:r w:rsidR="000673C4">
        <w:rPr>
          <w:rFonts w:ascii="Arial" w:hAnsi="Arial" w:cs="Arial"/>
        </w:rPr>
        <w:t xml:space="preserve"> même si elle obtenait </w:t>
      </w:r>
      <w:r w:rsidR="000673C4" w:rsidRPr="000673C4">
        <w:rPr>
          <w:rFonts w:ascii="Arial" w:hAnsi="Arial" w:cs="Arial"/>
          <w:i/>
          <w:iCs/>
        </w:rPr>
        <w:t>in fine</w:t>
      </w:r>
      <w:r w:rsidR="000673C4">
        <w:rPr>
          <w:rFonts w:ascii="Arial" w:hAnsi="Arial" w:cs="Arial"/>
        </w:rPr>
        <w:t xml:space="preserve"> la décharge. </w:t>
      </w:r>
    </w:p>
    <w:p w14:paraId="55BC5FA4" w14:textId="7A0F6DC6" w:rsidR="00932DE7" w:rsidRDefault="001E5DF2" w:rsidP="00E56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vous ajoutez à cela que les femmes saisies n’avaient plus les moyens de payer un avocat et qu’elles mettaient donc beaucoup de temps</w:t>
      </w:r>
      <w:r w:rsidR="00363A5F">
        <w:rPr>
          <w:rFonts w:ascii="Arial" w:hAnsi="Arial" w:cs="Arial"/>
        </w:rPr>
        <w:t xml:space="preserve"> à déposer une demande, vous comprenez que </w:t>
      </w:r>
      <w:r w:rsidR="002E7F4E">
        <w:rPr>
          <w:rFonts w:ascii="Arial" w:hAnsi="Arial" w:cs="Arial"/>
        </w:rPr>
        <w:t xml:space="preserve">les sommes saisies avant la demande étaient </w:t>
      </w:r>
      <w:r w:rsidR="00E6093C">
        <w:rPr>
          <w:rFonts w:ascii="Arial" w:hAnsi="Arial" w:cs="Arial"/>
        </w:rPr>
        <w:t xml:space="preserve">plutôt </w:t>
      </w:r>
      <w:r w:rsidR="002E7F4E">
        <w:rPr>
          <w:rFonts w:ascii="Arial" w:hAnsi="Arial" w:cs="Arial"/>
        </w:rPr>
        <w:t>conséquentes.</w:t>
      </w:r>
    </w:p>
    <w:p w14:paraId="5CAA0FEC" w14:textId="045A1016" w:rsidR="00E6093C" w:rsidRDefault="00E6093C" w:rsidP="00E56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L’article n°6 représente donc une avancée</w:t>
      </w:r>
      <w:r w:rsidR="00483239">
        <w:rPr>
          <w:rFonts w:ascii="Arial" w:hAnsi="Arial" w:cs="Arial"/>
        </w:rPr>
        <w:t xml:space="preserve"> significative</w:t>
      </w:r>
      <w:r>
        <w:rPr>
          <w:rFonts w:ascii="Arial" w:hAnsi="Arial" w:cs="Arial"/>
        </w:rPr>
        <w:t> : les femmes ayant obtenu gain de cause auprès de l’administration fiscale pourront désormais récupérer l</w:t>
      </w:r>
      <w:r w:rsidR="00483239">
        <w:rPr>
          <w:rFonts w:ascii="Arial" w:hAnsi="Arial" w:cs="Arial"/>
        </w:rPr>
        <w:t>’intégralité d</w:t>
      </w:r>
      <w:r>
        <w:rPr>
          <w:rFonts w:ascii="Arial" w:hAnsi="Arial" w:cs="Arial"/>
        </w:rPr>
        <w:t>es sommes saisies.</w:t>
      </w:r>
    </w:p>
    <w:p w14:paraId="291DF6F5" w14:textId="77777777" w:rsidR="00483239" w:rsidRDefault="00483239" w:rsidP="00E56418">
      <w:pPr>
        <w:spacing w:line="360" w:lineRule="auto"/>
        <w:jc w:val="both"/>
        <w:rPr>
          <w:rFonts w:ascii="Arial" w:hAnsi="Arial" w:cs="Arial"/>
        </w:rPr>
      </w:pPr>
    </w:p>
    <w:p w14:paraId="4468978B" w14:textId="38BDAEC3" w:rsidR="00483239" w:rsidRDefault="00483239" w:rsidP="00E56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 : L’Association travaille actuellement avec l’administration fiscale pour </w:t>
      </w:r>
      <w:r w:rsidR="00A70BF7">
        <w:rPr>
          <w:rFonts w:ascii="Arial" w:hAnsi="Arial" w:cs="Arial"/>
        </w:rPr>
        <w:t>demander</w:t>
      </w:r>
      <w:r w:rsidR="009879C0">
        <w:rPr>
          <w:rFonts w:ascii="Arial" w:hAnsi="Arial" w:cs="Arial"/>
        </w:rPr>
        <w:t xml:space="preserve"> que les saisies soient gelées au début du processus pour permettre aux femmes de conserver les moyens de </w:t>
      </w:r>
      <w:r w:rsidR="00116066">
        <w:rPr>
          <w:rFonts w:ascii="Arial" w:hAnsi="Arial" w:cs="Arial"/>
        </w:rPr>
        <w:t xml:space="preserve">rémunérer un avocat afin de déposer leur demande de DRS et/ou de recours gracieux. Si les sommes saisies peuvent désormais être </w:t>
      </w:r>
      <w:r w:rsidR="003B563C">
        <w:rPr>
          <w:rFonts w:ascii="Arial" w:hAnsi="Arial" w:cs="Arial"/>
        </w:rPr>
        <w:t>restituées, autant ne pas les prendre au départ.</w:t>
      </w:r>
    </w:p>
    <w:p w14:paraId="4C59CE27" w14:textId="77777777" w:rsidR="006C5F7A" w:rsidRDefault="006C5F7A" w:rsidP="00E56418">
      <w:pPr>
        <w:spacing w:line="360" w:lineRule="auto"/>
        <w:jc w:val="both"/>
        <w:rPr>
          <w:rFonts w:ascii="Arial" w:hAnsi="Arial" w:cs="Arial"/>
        </w:rPr>
      </w:pPr>
    </w:p>
    <w:p w14:paraId="1EE11F82" w14:textId="77777777" w:rsidR="00A70BF7" w:rsidRDefault="00A70BF7" w:rsidP="00E5641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CCAF48" w14:textId="3D82833C" w:rsidR="00B60CBB" w:rsidRPr="00A70BF7" w:rsidRDefault="00DC42F6" w:rsidP="00DC42F6">
      <w:pPr>
        <w:spacing w:line="360" w:lineRule="auto"/>
        <w:jc w:val="both"/>
        <w:rPr>
          <w:rFonts w:ascii="Arial" w:hAnsi="Arial" w:cs="Arial"/>
          <w:b/>
          <w:bCs/>
        </w:rPr>
      </w:pPr>
      <w:r w:rsidRPr="00DC42F6">
        <w:rPr>
          <w:rFonts w:ascii="Arial" w:hAnsi="Arial" w:cs="Arial"/>
          <w:b/>
          <w:bCs/>
        </w:rPr>
        <w:t>EN CONCLUSION</w:t>
      </w:r>
    </w:p>
    <w:p w14:paraId="49674362" w14:textId="037AC463" w:rsidR="00DC42F6" w:rsidRDefault="008D1F2D" w:rsidP="00DC42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Nous espérons que ces explications vous éclairent sur cette nouvelle Loi qui représente une avancée majeure pour les</w:t>
      </w:r>
      <w:r w:rsidR="000D62C3">
        <w:rPr>
          <w:rFonts w:ascii="Arial" w:hAnsi="Arial" w:cs="Arial"/>
        </w:rPr>
        <w:t xml:space="preserve"> ex-</w:t>
      </w:r>
      <w:r>
        <w:rPr>
          <w:rFonts w:ascii="Arial" w:hAnsi="Arial" w:cs="Arial"/>
        </w:rPr>
        <w:t>femmes innocentes victimes de la solidarité fiscale</w:t>
      </w:r>
      <w:r w:rsidR="000D62C3">
        <w:rPr>
          <w:rFonts w:ascii="Arial" w:hAnsi="Arial" w:cs="Arial"/>
        </w:rPr>
        <w:t xml:space="preserve">. </w:t>
      </w:r>
    </w:p>
    <w:p w14:paraId="7C952456" w14:textId="631EEC35" w:rsidR="00D54204" w:rsidRDefault="000D62C3" w:rsidP="00E56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Notre Association a demandé des précisions sur les démarches à </w:t>
      </w:r>
      <w:r w:rsidR="005507A7">
        <w:rPr>
          <w:rFonts w:ascii="Arial" w:hAnsi="Arial" w:cs="Arial"/>
        </w:rPr>
        <w:t>réaliser</w:t>
      </w:r>
      <w:r>
        <w:rPr>
          <w:rFonts w:ascii="Arial" w:hAnsi="Arial" w:cs="Arial"/>
        </w:rPr>
        <w:t xml:space="preserve"> par les ex-femmes pour </w:t>
      </w:r>
      <w:r w:rsidR="005507A7">
        <w:rPr>
          <w:rFonts w:ascii="Arial" w:hAnsi="Arial" w:cs="Arial"/>
        </w:rPr>
        <w:t>bénéficier de ces nouvelles possibilités et</w:t>
      </w:r>
      <w:r>
        <w:rPr>
          <w:rFonts w:ascii="Arial" w:hAnsi="Arial" w:cs="Arial"/>
        </w:rPr>
        <w:t xml:space="preserve"> nous diffuserons ces informations sur notre site dès réception de la réponse</w:t>
      </w:r>
      <w:r w:rsidR="005507A7">
        <w:rPr>
          <w:rFonts w:ascii="Arial" w:hAnsi="Arial" w:cs="Arial"/>
        </w:rPr>
        <w:t>.</w:t>
      </w:r>
    </w:p>
    <w:p w14:paraId="47DA6BF2" w14:textId="49984BEF" w:rsidR="00CA486D" w:rsidRPr="007325DA" w:rsidRDefault="00CA486D" w:rsidP="007325DA">
      <w:pPr>
        <w:jc w:val="both"/>
        <w:rPr>
          <w:rFonts w:ascii="Arial" w:hAnsi="Arial" w:cs="Arial"/>
        </w:rPr>
      </w:pPr>
    </w:p>
    <w:sectPr w:rsidR="00CA486D" w:rsidRPr="0073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A57"/>
    <w:multiLevelType w:val="hybridMultilevel"/>
    <w:tmpl w:val="10666EC2"/>
    <w:lvl w:ilvl="0" w:tplc="BAB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2D0"/>
    <w:multiLevelType w:val="hybridMultilevel"/>
    <w:tmpl w:val="E54077DE"/>
    <w:lvl w:ilvl="0" w:tplc="4380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B13"/>
    <w:multiLevelType w:val="hybridMultilevel"/>
    <w:tmpl w:val="97C00C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AEC"/>
    <w:multiLevelType w:val="hybridMultilevel"/>
    <w:tmpl w:val="937CA550"/>
    <w:lvl w:ilvl="0" w:tplc="DBF6E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7231"/>
    <w:multiLevelType w:val="hybridMultilevel"/>
    <w:tmpl w:val="F9B8AD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C65"/>
    <w:multiLevelType w:val="hybridMultilevel"/>
    <w:tmpl w:val="39689B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95860"/>
    <w:multiLevelType w:val="hybridMultilevel"/>
    <w:tmpl w:val="076AB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399"/>
    <w:multiLevelType w:val="hybridMultilevel"/>
    <w:tmpl w:val="C74AE2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451BB"/>
    <w:multiLevelType w:val="hybridMultilevel"/>
    <w:tmpl w:val="432684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7040B"/>
    <w:multiLevelType w:val="hybridMultilevel"/>
    <w:tmpl w:val="F8EE456A"/>
    <w:lvl w:ilvl="0" w:tplc="1870F5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03E46"/>
    <w:multiLevelType w:val="hybridMultilevel"/>
    <w:tmpl w:val="135AB41C"/>
    <w:lvl w:ilvl="0" w:tplc="EA462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11BF2"/>
    <w:multiLevelType w:val="hybridMultilevel"/>
    <w:tmpl w:val="76BEB8E6"/>
    <w:lvl w:ilvl="0" w:tplc="CB8EBF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357F6"/>
    <w:multiLevelType w:val="hybridMultilevel"/>
    <w:tmpl w:val="154E8E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67103"/>
    <w:multiLevelType w:val="hybridMultilevel"/>
    <w:tmpl w:val="43BAB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5390">
    <w:abstractNumId w:val="1"/>
  </w:num>
  <w:num w:numId="2" w16cid:durableId="1466779319">
    <w:abstractNumId w:val="9"/>
  </w:num>
  <w:num w:numId="3" w16cid:durableId="961688505">
    <w:abstractNumId w:val="3"/>
  </w:num>
  <w:num w:numId="4" w16cid:durableId="19623228">
    <w:abstractNumId w:val="0"/>
  </w:num>
  <w:num w:numId="5" w16cid:durableId="120657713">
    <w:abstractNumId w:val="7"/>
  </w:num>
  <w:num w:numId="6" w16cid:durableId="1485320535">
    <w:abstractNumId w:val="13"/>
  </w:num>
  <w:num w:numId="7" w16cid:durableId="1531340114">
    <w:abstractNumId w:val="2"/>
  </w:num>
  <w:num w:numId="8" w16cid:durableId="840852720">
    <w:abstractNumId w:val="8"/>
  </w:num>
  <w:num w:numId="9" w16cid:durableId="1900242539">
    <w:abstractNumId w:val="10"/>
  </w:num>
  <w:num w:numId="10" w16cid:durableId="701980848">
    <w:abstractNumId w:val="6"/>
  </w:num>
  <w:num w:numId="11" w16cid:durableId="1214004194">
    <w:abstractNumId w:val="5"/>
  </w:num>
  <w:num w:numId="12" w16cid:durableId="1976329742">
    <w:abstractNumId w:val="4"/>
  </w:num>
  <w:num w:numId="13" w16cid:durableId="1294022618">
    <w:abstractNumId w:val="11"/>
  </w:num>
  <w:num w:numId="14" w16cid:durableId="1296980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16"/>
    <w:rsid w:val="00003434"/>
    <w:rsid w:val="000218FE"/>
    <w:rsid w:val="0002486B"/>
    <w:rsid w:val="00026F61"/>
    <w:rsid w:val="00040DF7"/>
    <w:rsid w:val="000603BB"/>
    <w:rsid w:val="000673C4"/>
    <w:rsid w:val="00075494"/>
    <w:rsid w:val="00076BD0"/>
    <w:rsid w:val="00093C5B"/>
    <w:rsid w:val="000C50EC"/>
    <w:rsid w:val="000D3F48"/>
    <w:rsid w:val="000D62C3"/>
    <w:rsid w:val="000E0AF9"/>
    <w:rsid w:val="000E768E"/>
    <w:rsid w:val="001077D2"/>
    <w:rsid w:val="00116066"/>
    <w:rsid w:val="00124C0E"/>
    <w:rsid w:val="00125B08"/>
    <w:rsid w:val="0015151C"/>
    <w:rsid w:val="001523C2"/>
    <w:rsid w:val="00173604"/>
    <w:rsid w:val="00175A42"/>
    <w:rsid w:val="00180162"/>
    <w:rsid w:val="00197D80"/>
    <w:rsid w:val="001B2AEE"/>
    <w:rsid w:val="001B5ADC"/>
    <w:rsid w:val="001C17DA"/>
    <w:rsid w:val="001D41DF"/>
    <w:rsid w:val="001E5DF2"/>
    <w:rsid w:val="00204AA8"/>
    <w:rsid w:val="00227697"/>
    <w:rsid w:val="002320D4"/>
    <w:rsid w:val="002339C2"/>
    <w:rsid w:val="002469B3"/>
    <w:rsid w:val="00253374"/>
    <w:rsid w:val="00276D10"/>
    <w:rsid w:val="002A737B"/>
    <w:rsid w:val="002B019E"/>
    <w:rsid w:val="002B3BB7"/>
    <w:rsid w:val="002B7491"/>
    <w:rsid w:val="002C41D8"/>
    <w:rsid w:val="002E7F4E"/>
    <w:rsid w:val="002F2A95"/>
    <w:rsid w:val="00310E3C"/>
    <w:rsid w:val="00320A91"/>
    <w:rsid w:val="003260E0"/>
    <w:rsid w:val="00335E35"/>
    <w:rsid w:val="00342EEC"/>
    <w:rsid w:val="00363A5F"/>
    <w:rsid w:val="00390E39"/>
    <w:rsid w:val="00391F76"/>
    <w:rsid w:val="00394778"/>
    <w:rsid w:val="00395E7A"/>
    <w:rsid w:val="003A10D4"/>
    <w:rsid w:val="003B4EE2"/>
    <w:rsid w:val="003B563C"/>
    <w:rsid w:val="003B7D07"/>
    <w:rsid w:val="003D3A45"/>
    <w:rsid w:val="003D6BC8"/>
    <w:rsid w:val="003E4616"/>
    <w:rsid w:val="0041374B"/>
    <w:rsid w:val="00434F29"/>
    <w:rsid w:val="00447C6C"/>
    <w:rsid w:val="00461F5A"/>
    <w:rsid w:val="00473DC3"/>
    <w:rsid w:val="00483239"/>
    <w:rsid w:val="004D3CEA"/>
    <w:rsid w:val="004F15A6"/>
    <w:rsid w:val="004F4966"/>
    <w:rsid w:val="0052226F"/>
    <w:rsid w:val="00522C69"/>
    <w:rsid w:val="005270D7"/>
    <w:rsid w:val="005403CC"/>
    <w:rsid w:val="005464AD"/>
    <w:rsid w:val="005507A7"/>
    <w:rsid w:val="005564B6"/>
    <w:rsid w:val="005611A5"/>
    <w:rsid w:val="00592CF5"/>
    <w:rsid w:val="005A0C4D"/>
    <w:rsid w:val="005A7D5A"/>
    <w:rsid w:val="005E4C09"/>
    <w:rsid w:val="00652A7C"/>
    <w:rsid w:val="00664F0A"/>
    <w:rsid w:val="00682639"/>
    <w:rsid w:val="006870EA"/>
    <w:rsid w:val="00694E04"/>
    <w:rsid w:val="006C5F7A"/>
    <w:rsid w:val="006E13E3"/>
    <w:rsid w:val="006E1F29"/>
    <w:rsid w:val="006E25B0"/>
    <w:rsid w:val="0070153C"/>
    <w:rsid w:val="00701557"/>
    <w:rsid w:val="00702CEF"/>
    <w:rsid w:val="00703AF0"/>
    <w:rsid w:val="007325DA"/>
    <w:rsid w:val="00737B54"/>
    <w:rsid w:val="00756E16"/>
    <w:rsid w:val="00784A37"/>
    <w:rsid w:val="007944FB"/>
    <w:rsid w:val="007B74F9"/>
    <w:rsid w:val="007C5499"/>
    <w:rsid w:val="00801A81"/>
    <w:rsid w:val="008102FB"/>
    <w:rsid w:val="0083493C"/>
    <w:rsid w:val="00850183"/>
    <w:rsid w:val="00863F36"/>
    <w:rsid w:val="00866050"/>
    <w:rsid w:val="00873A95"/>
    <w:rsid w:val="00883478"/>
    <w:rsid w:val="00884716"/>
    <w:rsid w:val="00893216"/>
    <w:rsid w:val="00895F4D"/>
    <w:rsid w:val="008A26F3"/>
    <w:rsid w:val="008B5D67"/>
    <w:rsid w:val="008B7803"/>
    <w:rsid w:val="008D1F2D"/>
    <w:rsid w:val="008E2808"/>
    <w:rsid w:val="008F7675"/>
    <w:rsid w:val="00904701"/>
    <w:rsid w:val="009103DA"/>
    <w:rsid w:val="00932DE7"/>
    <w:rsid w:val="0094095A"/>
    <w:rsid w:val="009509E0"/>
    <w:rsid w:val="009610B3"/>
    <w:rsid w:val="00962520"/>
    <w:rsid w:val="00967E9D"/>
    <w:rsid w:val="00971E7C"/>
    <w:rsid w:val="00982A3C"/>
    <w:rsid w:val="009879C0"/>
    <w:rsid w:val="009A46E0"/>
    <w:rsid w:val="009D1727"/>
    <w:rsid w:val="009D235C"/>
    <w:rsid w:val="00A10B07"/>
    <w:rsid w:val="00A22935"/>
    <w:rsid w:val="00A52590"/>
    <w:rsid w:val="00A57738"/>
    <w:rsid w:val="00A70BF7"/>
    <w:rsid w:val="00A75B0D"/>
    <w:rsid w:val="00A86169"/>
    <w:rsid w:val="00AE6B7F"/>
    <w:rsid w:val="00B2577A"/>
    <w:rsid w:val="00B33B11"/>
    <w:rsid w:val="00B549F7"/>
    <w:rsid w:val="00B60CBB"/>
    <w:rsid w:val="00B66AD6"/>
    <w:rsid w:val="00B95D42"/>
    <w:rsid w:val="00B95DCB"/>
    <w:rsid w:val="00BF74F8"/>
    <w:rsid w:val="00C143B4"/>
    <w:rsid w:val="00C16CDB"/>
    <w:rsid w:val="00C16D5E"/>
    <w:rsid w:val="00C22A9D"/>
    <w:rsid w:val="00C26493"/>
    <w:rsid w:val="00CA486D"/>
    <w:rsid w:val="00CA66C6"/>
    <w:rsid w:val="00CC62C1"/>
    <w:rsid w:val="00CD51E1"/>
    <w:rsid w:val="00D07211"/>
    <w:rsid w:val="00D24665"/>
    <w:rsid w:val="00D410B7"/>
    <w:rsid w:val="00D4144A"/>
    <w:rsid w:val="00D4443C"/>
    <w:rsid w:val="00D5418E"/>
    <w:rsid w:val="00D54204"/>
    <w:rsid w:val="00D70885"/>
    <w:rsid w:val="00D709BE"/>
    <w:rsid w:val="00D70B46"/>
    <w:rsid w:val="00D932AC"/>
    <w:rsid w:val="00DA50E7"/>
    <w:rsid w:val="00DC31E6"/>
    <w:rsid w:val="00DC3A58"/>
    <w:rsid w:val="00DC42F6"/>
    <w:rsid w:val="00DD28C7"/>
    <w:rsid w:val="00DE1820"/>
    <w:rsid w:val="00DF3F17"/>
    <w:rsid w:val="00E56418"/>
    <w:rsid w:val="00E6093C"/>
    <w:rsid w:val="00E74577"/>
    <w:rsid w:val="00E75A4F"/>
    <w:rsid w:val="00E81352"/>
    <w:rsid w:val="00E8262F"/>
    <w:rsid w:val="00EA32D5"/>
    <w:rsid w:val="00EA5D07"/>
    <w:rsid w:val="00EB5068"/>
    <w:rsid w:val="00EF0F83"/>
    <w:rsid w:val="00EF1F75"/>
    <w:rsid w:val="00F01D75"/>
    <w:rsid w:val="00F077F6"/>
    <w:rsid w:val="00F4205E"/>
    <w:rsid w:val="00F60922"/>
    <w:rsid w:val="00FB6B8A"/>
    <w:rsid w:val="00FF0C89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9F0C"/>
  <w15:chartTrackingRefBased/>
  <w15:docId w15:val="{D5317E33-FDAF-43F5-8AC5-572F2B9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616"/>
    <w:pPr>
      <w:ind w:left="720"/>
      <w:contextualSpacing/>
    </w:pPr>
  </w:style>
  <w:style w:type="paragraph" w:styleId="Rvision">
    <w:name w:val="Revision"/>
    <w:hidden/>
    <w:uiPriority w:val="99"/>
    <w:semiHidden/>
    <w:rsid w:val="002A7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1770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Annabel-Mauve BONNEFOUS</dc:creator>
  <cp:keywords/>
  <dc:description/>
  <cp:lastModifiedBy>User</cp:lastModifiedBy>
  <cp:revision>2</cp:revision>
  <dcterms:created xsi:type="dcterms:W3CDTF">2024-06-06T08:06:00Z</dcterms:created>
  <dcterms:modified xsi:type="dcterms:W3CDTF">2024-06-06T08:06:00Z</dcterms:modified>
</cp:coreProperties>
</file>